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1F0C" w14:textId="77777777" w:rsidR="000D5FD9" w:rsidRDefault="00F903A0">
      <w:pPr>
        <w:pStyle w:val="Title"/>
      </w:pPr>
      <w:r>
        <w:t>Faculty</w:t>
      </w:r>
      <w:r>
        <w:rPr>
          <w:spacing w:val="-3"/>
        </w:rPr>
        <w:t xml:space="preserve"> </w:t>
      </w:r>
      <w:r>
        <w:t>Distinguished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Winners</w:t>
      </w:r>
    </w:p>
    <w:p w14:paraId="0130E994" w14:textId="77777777" w:rsidR="000D5FD9" w:rsidRDefault="000D5FD9">
      <w:pPr>
        <w:pStyle w:val="BodyText"/>
        <w:rPr>
          <w:b/>
        </w:rPr>
      </w:pPr>
    </w:p>
    <w:p w14:paraId="4C7D7A8D" w14:textId="77777777" w:rsidR="000D5FD9" w:rsidRDefault="00F903A0">
      <w:pPr>
        <w:pStyle w:val="BodyText"/>
        <w:ind w:left="100" w:right="108"/>
      </w:pPr>
      <w:r>
        <w:t>The Faculty Distinguished Service Award is presented annually to a member of the tenured Keene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notable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department or unit or constituency within the College.</w:t>
      </w:r>
      <w:r>
        <w:rPr>
          <w:spacing w:val="40"/>
        </w:rPr>
        <w:t xml:space="preserve"> </w:t>
      </w:r>
      <w:r>
        <w:t>The award honors faculty members who have dedicated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proofErr w:type="gramStart"/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and who have gone above and beyond the levels of service that</w:t>
      </w:r>
      <w:r>
        <w:t xml:space="preserve"> are typically associated with faculty advancement at the College.</w:t>
      </w:r>
      <w:r>
        <w:rPr>
          <w:spacing w:val="80"/>
        </w:rPr>
        <w:t xml:space="preserve"> </w:t>
      </w:r>
      <w:r>
        <w:t xml:space="preserve">The award recipient will receive an honorarium and will be honored and asked to speak at the Faculty Excellence Dinner. The recipient will also </w:t>
      </w:r>
      <w:proofErr w:type="gramStart"/>
      <w:r>
        <w:t>have the opportunity to</w:t>
      </w:r>
      <w:proofErr w:type="gramEnd"/>
      <w:r>
        <w:t xml:space="preserve"> be recognized at othe</w:t>
      </w:r>
      <w:r>
        <w:t>r gatherings and will serve on the faculty selection committee for this award in future years.</w:t>
      </w:r>
    </w:p>
    <w:p w14:paraId="04D35E60" w14:textId="77777777" w:rsidR="000D5FD9" w:rsidRDefault="000D5FD9">
      <w:pPr>
        <w:pStyle w:val="BodyText"/>
        <w:rPr>
          <w:sz w:val="21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2297"/>
        <w:gridCol w:w="4455"/>
      </w:tblGrid>
      <w:tr w:rsidR="00F903A0" w14:paraId="613E9242" w14:textId="77777777">
        <w:trPr>
          <w:trHeight w:val="224"/>
        </w:trPr>
        <w:tc>
          <w:tcPr>
            <w:tcW w:w="792" w:type="dxa"/>
          </w:tcPr>
          <w:p w14:paraId="03FCACA3" w14:textId="10DA0FFF" w:rsidR="00F903A0" w:rsidRDefault="00F903A0">
            <w:pPr>
              <w:pStyle w:val="TableParagraph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2297" w:type="dxa"/>
          </w:tcPr>
          <w:p w14:paraId="0F77A96F" w14:textId="721CEBF4" w:rsidR="00F903A0" w:rsidRDefault="00F903A0">
            <w:pPr>
              <w:pStyle w:val="TableParagraph"/>
              <w:ind w:left="337"/>
              <w:rPr>
                <w:i/>
                <w:sz w:val="20"/>
              </w:rPr>
            </w:pPr>
            <w:r>
              <w:rPr>
                <w:i/>
                <w:sz w:val="20"/>
              </w:rPr>
              <w:t>Katherine Tirabassi</w:t>
            </w:r>
          </w:p>
        </w:tc>
        <w:tc>
          <w:tcPr>
            <w:tcW w:w="4455" w:type="dxa"/>
          </w:tcPr>
          <w:p w14:paraId="7CABADFC" w14:textId="2BF4D763" w:rsidR="00F903A0" w:rsidRDefault="00F903A0">
            <w:pPr>
              <w:pStyle w:val="TableParagraph"/>
              <w:ind w:left="741"/>
              <w:rPr>
                <w:sz w:val="20"/>
              </w:rPr>
            </w:pPr>
            <w:r>
              <w:rPr>
                <w:sz w:val="20"/>
              </w:rPr>
              <w:t>Communication and Philosphy</w:t>
            </w:r>
          </w:p>
        </w:tc>
      </w:tr>
      <w:tr w:rsidR="000D5FD9" w14:paraId="3295EE06" w14:textId="77777777">
        <w:trPr>
          <w:trHeight w:val="224"/>
        </w:trPr>
        <w:tc>
          <w:tcPr>
            <w:tcW w:w="792" w:type="dxa"/>
          </w:tcPr>
          <w:p w14:paraId="3BD83E13" w14:textId="77777777" w:rsidR="000D5FD9" w:rsidRDefault="00F903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297" w:type="dxa"/>
          </w:tcPr>
          <w:p w14:paraId="71D23764" w14:textId="77777777" w:rsidR="000D5FD9" w:rsidRDefault="00F903A0">
            <w:pPr>
              <w:pStyle w:val="TableParagraph"/>
              <w:ind w:left="337"/>
              <w:rPr>
                <w:i/>
                <w:sz w:val="20"/>
              </w:rPr>
            </w:pPr>
            <w:r>
              <w:rPr>
                <w:i/>
                <w:sz w:val="20"/>
              </w:rPr>
              <w:t>Fitni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Destani</w:t>
            </w:r>
          </w:p>
        </w:tc>
        <w:tc>
          <w:tcPr>
            <w:tcW w:w="4455" w:type="dxa"/>
          </w:tcPr>
          <w:p w14:paraId="28A3E506" w14:textId="77777777" w:rsidR="000D5FD9" w:rsidRDefault="00F903A0">
            <w:pPr>
              <w:pStyle w:val="TableParagraph"/>
              <w:ind w:left="741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0D5FD9" w14:paraId="52B57005" w14:textId="77777777">
        <w:trPr>
          <w:trHeight w:val="229"/>
        </w:trPr>
        <w:tc>
          <w:tcPr>
            <w:tcW w:w="792" w:type="dxa"/>
          </w:tcPr>
          <w:p w14:paraId="3CD923A9" w14:textId="77777777" w:rsidR="000D5FD9" w:rsidRDefault="00F903A0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2297" w:type="dxa"/>
          </w:tcPr>
          <w:p w14:paraId="7139EF2C" w14:textId="77777777" w:rsidR="000D5FD9" w:rsidRDefault="00F903A0">
            <w:pPr>
              <w:pStyle w:val="TableParagraph"/>
              <w:spacing w:line="209" w:lineRule="exact"/>
              <w:ind w:left="337"/>
              <w:rPr>
                <w:i/>
                <w:sz w:val="20"/>
              </w:rPr>
            </w:pPr>
            <w:r>
              <w:rPr>
                <w:i/>
                <w:sz w:val="20"/>
              </w:rPr>
              <w:t>William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Stroup</w:t>
            </w:r>
          </w:p>
        </w:tc>
        <w:tc>
          <w:tcPr>
            <w:tcW w:w="4455" w:type="dxa"/>
          </w:tcPr>
          <w:p w14:paraId="56995096" w14:textId="77777777" w:rsidR="000D5FD9" w:rsidRDefault="00F903A0">
            <w:pPr>
              <w:pStyle w:val="TableParagraph"/>
              <w:spacing w:line="209" w:lineRule="exact"/>
              <w:ind w:left="741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</w:tr>
      <w:tr w:rsidR="000D5FD9" w14:paraId="58ECA8A8" w14:textId="77777777">
        <w:trPr>
          <w:trHeight w:val="230"/>
        </w:trPr>
        <w:tc>
          <w:tcPr>
            <w:tcW w:w="792" w:type="dxa"/>
          </w:tcPr>
          <w:p w14:paraId="15974E61" w14:textId="77777777" w:rsidR="000D5FD9" w:rsidRDefault="00F903A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2297" w:type="dxa"/>
          </w:tcPr>
          <w:p w14:paraId="68A69B8E" w14:textId="77777777" w:rsidR="000D5FD9" w:rsidRDefault="00F903A0">
            <w:pPr>
              <w:pStyle w:val="TableParagraph"/>
              <w:spacing w:line="210" w:lineRule="exact"/>
              <w:ind w:left="337"/>
              <w:rPr>
                <w:i/>
                <w:sz w:val="20"/>
              </w:rPr>
            </w:pPr>
            <w:r>
              <w:rPr>
                <w:i/>
                <w:sz w:val="20"/>
              </w:rPr>
              <w:t>Ockle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Johnson</w:t>
            </w:r>
          </w:p>
        </w:tc>
        <w:tc>
          <w:tcPr>
            <w:tcW w:w="4455" w:type="dxa"/>
          </w:tcPr>
          <w:p w14:paraId="5AAA78E4" w14:textId="77777777" w:rsidR="000D5FD9" w:rsidRDefault="00F903A0">
            <w:pPr>
              <w:pStyle w:val="TableParagraph"/>
              <w:spacing w:line="210" w:lineRule="exact"/>
              <w:ind w:left="741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</w:p>
        </w:tc>
      </w:tr>
      <w:tr w:rsidR="000D5FD9" w14:paraId="03EF9E59" w14:textId="77777777">
        <w:trPr>
          <w:trHeight w:val="230"/>
        </w:trPr>
        <w:tc>
          <w:tcPr>
            <w:tcW w:w="792" w:type="dxa"/>
          </w:tcPr>
          <w:p w14:paraId="0A0F091B" w14:textId="77777777" w:rsidR="000D5FD9" w:rsidRDefault="00F903A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2018</w:t>
            </w:r>
          </w:p>
        </w:tc>
        <w:tc>
          <w:tcPr>
            <w:tcW w:w="2297" w:type="dxa"/>
          </w:tcPr>
          <w:p w14:paraId="7DDCFCA3" w14:textId="77777777" w:rsidR="000D5FD9" w:rsidRDefault="00F903A0">
            <w:pPr>
              <w:pStyle w:val="TableParagraph"/>
              <w:spacing w:line="210" w:lineRule="exact"/>
              <w:ind w:left="337"/>
              <w:rPr>
                <w:i/>
                <w:sz w:val="20"/>
              </w:rPr>
            </w:pPr>
            <w:r>
              <w:rPr>
                <w:i/>
                <w:sz w:val="20"/>
              </w:rPr>
              <w:t>Patrick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Dolenc</w:t>
            </w:r>
          </w:p>
        </w:tc>
        <w:tc>
          <w:tcPr>
            <w:tcW w:w="4455" w:type="dxa"/>
          </w:tcPr>
          <w:p w14:paraId="21D50363" w14:textId="77777777" w:rsidR="000D5FD9" w:rsidRDefault="00F903A0">
            <w:pPr>
              <w:pStyle w:val="TableParagraph"/>
              <w:spacing w:line="210" w:lineRule="exact"/>
              <w:ind w:left="741"/>
              <w:rPr>
                <w:sz w:val="20"/>
              </w:rPr>
            </w:pPr>
            <w:r>
              <w:rPr>
                <w:spacing w:val="-2"/>
                <w:sz w:val="20"/>
              </w:rPr>
              <w:t>Economics</w:t>
            </w:r>
          </w:p>
        </w:tc>
      </w:tr>
      <w:tr w:rsidR="000D5FD9" w14:paraId="658C339E" w14:textId="77777777">
        <w:trPr>
          <w:trHeight w:val="225"/>
        </w:trPr>
        <w:tc>
          <w:tcPr>
            <w:tcW w:w="792" w:type="dxa"/>
          </w:tcPr>
          <w:p w14:paraId="1A9A6459" w14:textId="77777777" w:rsidR="000D5FD9" w:rsidRDefault="00F903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2017</w:t>
            </w:r>
          </w:p>
        </w:tc>
        <w:tc>
          <w:tcPr>
            <w:tcW w:w="2297" w:type="dxa"/>
          </w:tcPr>
          <w:p w14:paraId="30085DA9" w14:textId="77777777" w:rsidR="000D5FD9" w:rsidRDefault="00F903A0">
            <w:pPr>
              <w:pStyle w:val="TableParagraph"/>
              <w:ind w:left="337"/>
              <w:rPr>
                <w:i/>
                <w:sz w:val="20"/>
              </w:rPr>
            </w:pPr>
            <w:r>
              <w:rPr>
                <w:i/>
                <w:sz w:val="20"/>
              </w:rPr>
              <w:t>Karen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Stanish</w:t>
            </w:r>
          </w:p>
        </w:tc>
        <w:tc>
          <w:tcPr>
            <w:tcW w:w="4455" w:type="dxa"/>
          </w:tcPr>
          <w:p w14:paraId="4BFDE021" w14:textId="77777777" w:rsidR="000D5FD9" w:rsidRDefault="00F903A0">
            <w:pPr>
              <w:pStyle w:val="TableParagraph"/>
              <w:ind w:left="741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</w:p>
        </w:tc>
      </w:tr>
    </w:tbl>
    <w:p w14:paraId="4EA5283D" w14:textId="77777777" w:rsidR="00000000" w:rsidRDefault="00F903A0"/>
    <w:sectPr w:rsidR="00000000">
      <w:type w:val="continuous"/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FD9"/>
    <w:rsid w:val="000D5FD9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4BD4"/>
  <w15:docId w15:val="{B8D233C1-ED9A-425B-B414-DB06508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397" w:right="23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F555862511D4FA1136D76AB947798" ma:contentTypeVersion="9" ma:contentTypeDescription="Create a new document." ma:contentTypeScope="" ma:versionID="d5cf79bf32f55ff9924e6b4593c8beb1">
  <xsd:schema xmlns:xsd="http://www.w3.org/2001/XMLSchema" xmlns:xs="http://www.w3.org/2001/XMLSchema" xmlns:p="http://schemas.microsoft.com/office/2006/metadata/properties" xmlns:ns2="5f7ea68d-e6c0-40a0-aac0-64055cfe74d7" targetNamespace="http://schemas.microsoft.com/office/2006/metadata/properties" ma:root="true" ma:fieldsID="cf7b9979afc6853ccdd89fd04cab4351" ns2:_="">
    <xsd:import namespace="5f7ea68d-e6c0-40a0-aac0-64055cfe7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a68d-e6c0-40a0-aac0-64055cfe7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89237-D6DE-4EFF-80A5-A8C18300A3DC}"/>
</file>

<file path=customXml/itemProps2.xml><?xml version="1.0" encoding="utf-8"?>
<ds:datastoreItem xmlns:ds="http://schemas.openxmlformats.org/officeDocument/2006/customXml" ds:itemID="{FA0ABCFC-14DF-49F6-B10D-1541ADBF9253}"/>
</file>

<file path=customXml/itemProps3.xml><?xml version="1.0" encoding="utf-8"?>
<ds:datastoreItem xmlns:ds="http://schemas.openxmlformats.org/officeDocument/2006/customXml" ds:itemID="{28354ED4-01F8-4F84-B585-A99C3ED9E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Kim Harkness</cp:lastModifiedBy>
  <cp:revision>2</cp:revision>
  <dcterms:created xsi:type="dcterms:W3CDTF">2023-07-12T16:42:00Z</dcterms:created>
  <dcterms:modified xsi:type="dcterms:W3CDTF">2023-07-12T16:44:00Z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0x010100A3AF555862511D4FA1136D76AB947798</vt:lpwstr>
  </property>
  <property fmtid="{D5CDD505-2E9C-101B-9397-08002B2CF9AE}" pid="7" name="Order">
    <vt:r8>100</vt:r8>
  </property>
</Properties>
</file>