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F0A4D" w14:textId="02896247" w:rsidR="006F1CE9" w:rsidRPr="00664AC4" w:rsidRDefault="00664AC4" w:rsidP="006F1CE9">
      <w:pPr>
        <w:jc w:val="center"/>
        <w:rPr>
          <w:b/>
        </w:rPr>
      </w:pPr>
      <w:r w:rsidRPr="00664AC4">
        <w:rPr>
          <w:b/>
        </w:rPr>
        <w:t>Safety</w:t>
      </w:r>
      <w:r w:rsidR="00EA49F9">
        <w:rPr>
          <w:b/>
        </w:rPr>
        <w:t xml:space="preserve"> and Occupational Health Applied Sciences (SOHAS) </w:t>
      </w:r>
      <w:r w:rsidRPr="00664AC4">
        <w:rPr>
          <w:b/>
        </w:rPr>
        <w:t>D</w:t>
      </w:r>
      <w:r w:rsidR="00EA49F9">
        <w:rPr>
          <w:b/>
        </w:rPr>
        <w:t xml:space="preserve">epartment </w:t>
      </w:r>
      <w:r w:rsidRPr="00664AC4">
        <w:rPr>
          <w:b/>
        </w:rPr>
        <w:t>P</w:t>
      </w:r>
      <w:r w:rsidR="00EA49F9">
        <w:rPr>
          <w:b/>
        </w:rPr>
        <w:t xml:space="preserve">romotion and </w:t>
      </w:r>
      <w:r w:rsidRPr="00664AC4">
        <w:rPr>
          <w:b/>
        </w:rPr>
        <w:t>E</w:t>
      </w:r>
      <w:r w:rsidR="00EA49F9">
        <w:rPr>
          <w:b/>
        </w:rPr>
        <w:t xml:space="preserve">valuation </w:t>
      </w:r>
      <w:r w:rsidRPr="00664AC4">
        <w:rPr>
          <w:b/>
        </w:rPr>
        <w:t>C</w:t>
      </w:r>
      <w:r w:rsidR="00EA49F9">
        <w:rPr>
          <w:b/>
        </w:rPr>
        <w:t>ommittee</w:t>
      </w:r>
      <w:r w:rsidRPr="00664AC4">
        <w:rPr>
          <w:b/>
        </w:rPr>
        <w:t xml:space="preserve"> </w:t>
      </w:r>
      <w:r w:rsidR="00E60879">
        <w:rPr>
          <w:b/>
        </w:rPr>
        <w:t xml:space="preserve">(DPEC) </w:t>
      </w:r>
      <w:r w:rsidRPr="00664AC4">
        <w:rPr>
          <w:b/>
        </w:rPr>
        <w:t>Guidelines</w:t>
      </w:r>
    </w:p>
    <w:p w14:paraId="2CDB1F24" w14:textId="77777777" w:rsidR="00971A67" w:rsidRDefault="00971A67" w:rsidP="00971A67">
      <w:pPr>
        <w:rPr>
          <w:b/>
        </w:rPr>
      </w:pPr>
      <w:r>
        <w:rPr>
          <w:b/>
        </w:rPr>
        <w:t>Purpose:</w:t>
      </w:r>
    </w:p>
    <w:p w14:paraId="04170155" w14:textId="7C16B6A5" w:rsidR="00283040" w:rsidRDefault="00F61D6F" w:rsidP="00196C4A">
      <w:pPr>
        <w:spacing w:after="0" w:line="240" w:lineRule="auto"/>
        <w:rPr>
          <w:rFonts w:eastAsia="Times New Roman"/>
          <w:lang w:eastAsia="ja-JP"/>
        </w:rPr>
      </w:pPr>
      <w:r>
        <w:t xml:space="preserve">The KSC </w:t>
      </w:r>
      <w:r w:rsidR="00EA49F9">
        <w:t xml:space="preserve">SOHAS </w:t>
      </w:r>
      <w:r>
        <w:t>faculty are committed to assuring students are fully prepared to meet and exceed employer or graduate school requirements</w:t>
      </w:r>
      <w:r w:rsidR="0025240A">
        <w:t xml:space="preserve"> upon graduation</w:t>
      </w:r>
      <w:r w:rsidR="006148E3">
        <w:t xml:space="preserve">. </w:t>
      </w:r>
      <w:r>
        <w:t xml:space="preserve">The purpose of this guideline is to identify </w:t>
      </w:r>
      <w:r w:rsidR="006148E3">
        <w:t xml:space="preserve">faculty </w:t>
      </w:r>
      <w:r>
        <w:t>expectations</w:t>
      </w:r>
      <w:r w:rsidR="00C73BA5">
        <w:t>. This guideline is to be used</w:t>
      </w:r>
      <w:r w:rsidR="006148E3">
        <w:t xml:space="preserve"> with the Faculty Handbook</w:t>
      </w:r>
      <w:r w:rsidR="0025240A">
        <w:rPr>
          <w:rStyle w:val="FootnoteReference"/>
        </w:rPr>
        <w:footnoteReference w:id="2"/>
      </w:r>
      <w:r w:rsidR="006148E3">
        <w:t xml:space="preserve"> and other college resources (</w:t>
      </w:r>
      <w:r w:rsidR="00456FDF">
        <w:t xml:space="preserve">e.g. </w:t>
      </w:r>
      <w:r w:rsidR="00456FDF" w:rsidRPr="00456FDF">
        <w:rPr>
          <w:rFonts w:eastAsia="Times New Roman"/>
          <w:lang w:eastAsia="ja-JP"/>
        </w:rPr>
        <w:t>Learning, Teaching, &amp; Scholarship Collaborative</w:t>
      </w:r>
      <w:r w:rsidR="00456FDF">
        <w:rPr>
          <w:rStyle w:val="FootnoteReference"/>
          <w:rFonts w:eastAsia="Times New Roman"/>
          <w:lang w:eastAsia="ja-JP"/>
        </w:rPr>
        <w:footnoteReference w:id="3"/>
      </w:r>
      <w:r w:rsidR="006148E3">
        <w:t>)</w:t>
      </w:r>
      <w:r w:rsidR="00C73BA5">
        <w:t xml:space="preserve"> to</w:t>
      </w:r>
      <w:r>
        <w:t xml:space="preserve"> </w:t>
      </w:r>
      <w:r w:rsidR="00C73BA5">
        <w:t xml:space="preserve">assist </w:t>
      </w:r>
      <w:r w:rsidR="006148E3">
        <w:t>faculty</w:t>
      </w:r>
      <w:r w:rsidR="00C73BA5">
        <w:t xml:space="preserve">. KSC success is dependent upon </w:t>
      </w:r>
      <w:r w:rsidR="00723FC2">
        <w:t>stakeholder holder</w:t>
      </w:r>
      <w:r w:rsidR="00723FC2">
        <w:rPr>
          <w:rStyle w:val="FootnoteReference"/>
        </w:rPr>
        <w:footnoteReference w:id="4"/>
      </w:r>
      <w:r w:rsidR="006148E3">
        <w:t xml:space="preserve"> satisfaction, ultimately resulting from teacher practices</w:t>
      </w:r>
      <w:r w:rsidR="00C73BA5">
        <w:t xml:space="preserve">, </w:t>
      </w:r>
      <w:r w:rsidR="00723FC2">
        <w:t xml:space="preserve">and their commitment to </w:t>
      </w:r>
      <w:r w:rsidR="00C73BA5">
        <w:t>scholarship and service</w:t>
      </w:r>
      <w:r w:rsidR="006148E3">
        <w:t>,</w:t>
      </w:r>
      <w:r w:rsidR="00C73BA5">
        <w:t xml:space="preserve"> in and outside of the college. </w:t>
      </w:r>
    </w:p>
    <w:p w14:paraId="0A03BE51" w14:textId="77777777" w:rsidR="00196C4A" w:rsidRPr="00196C4A" w:rsidRDefault="00196C4A" w:rsidP="00196C4A">
      <w:pPr>
        <w:spacing w:after="0" w:line="240" w:lineRule="auto"/>
        <w:rPr>
          <w:rFonts w:eastAsia="Times New Roman"/>
          <w:lang w:eastAsia="ja-JP"/>
        </w:rPr>
      </w:pPr>
    </w:p>
    <w:p w14:paraId="2BA80384" w14:textId="55D3F661" w:rsidR="00283040" w:rsidRPr="00713D76" w:rsidRDefault="00283040" w:rsidP="00283040">
      <w:pPr>
        <w:rPr>
          <w:b/>
          <w:highlight w:val="yellow"/>
        </w:rPr>
      </w:pPr>
      <w:r w:rsidRPr="00713D76">
        <w:rPr>
          <w:b/>
          <w:highlight w:val="yellow"/>
        </w:rPr>
        <w:t>Terminal Degree &amp; Certification Requirements:</w:t>
      </w:r>
    </w:p>
    <w:p w14:paraId="05B0E61A" w14:textId="79C412A1" w:rsidR="001D0203" w:rsidRPr="00713D76" w:rsidRDefault="00283040" w:rsidP="001D0203">
      <w:pPr>
        <w:pStyle w:val="ListParagraph"/>
        <w:numPr>
          <w:ilvl w:val="0"/>
          <w:numId w:val="10"/>
        </w:numPr>
        <w:rPr>
          <w:bCs/>
          <w:highlight w:val="yellow"/>
        </w:rPr>
      </w:pPr>
      <w:r w:rsidRPr="00713D76">
        <w:rPr>
          <w:bCs/>
          <w:highlight w:val="yellow"/>
        </w:rPr>
        <w:t>FTTT faculty must, at the time of hire, hold a minimum of a master’s degree in an Occupational Safety and Health or similar field</w:t>
      </w:r>
      <w:r w:rsidR="00594074" w:rsidRPr="00713D76">
        <w:rPr>
          <w:bCs/>
          <w:highlight w:val="yellow"/>
        </w:rPr>
        <w:t xml:space="preserve"> and,</w:t>
      </w:r>
    </w:p>
    <w:p w14:paraId="40D485C3" w14:textId="77777777" w:rsidR="00594074" w:rsidRPr="00713D76" w:rsidRDefault="00283040" w:rsidP="001D0203">
      <w:pPr>
        <w:pStyle w:val="ListParagraph"/>
        <w:numPr>
          <w:ilvl w:val="0"/>
          <w:numId w:val="10"/>
        </w:numPr>
        <w:rPr>
          <w:bCs/>
          <w:highlight w:val="yellow"/>
        </w:rPr>
      </w:pPr>
      <w:r w:rsidRPr="00713D76">
        <w:rPr>
          <w:bCs/>
          <w:highlight w:val="yellow"/>
        </w:rPr>
        <w:t xml:space="preserve">Emphasizing a culture of high professional standards, the SOHAS department mandates that all faculty members hold a current and relevant professional designation in Occupational Safety and Health, Engineering, Physical Sciences, or other related fields. </w:t>
      </w:r>
    </w:p>
    <w:p w14:paraId="26E910FF" w14:textId="77777777" w:rsidR="00594074" w:rsidRPr="00713D76" w:rsidRDefault="00283040" w:rsidP="00594074">
      <w:pPr>
        <w:pStyle w:val="ListParagraph"/>
        <w:numPr>
          <w:ilvl w:val="1"/>
          <w:numId w:val="10"/>
        </w:numPr>
        <w:rPr>
          <w:bCs/>
          <w:highlight w:val="yellow"/>
        </w:rPr>
      </w:pPr>
      <w:r w:rsidRPr="00713D76">
        <w:rPr>
          <w:bCs/>
          <w:highlight w:val="yellow"/>
        </w:rPr>
        <w:t xml:space="preserve">For new faculty members lacking this designation at the time of hire, SOHAS will allow a period of three years to obtain a designation such as the Certified Safety Professional (CSP), Certified Industrial Hygienist (CIH), or equivalent. </w:t>
      </w:r>
    </w:p>
    <w:p w14:paraId="0C9E479C" w14:textId="77777777" w:rsidR="00E65CAB" w:rsidRPr="00713D76" w:rsidRDefault="00283040" w:rsidP="00594074">
      <w:pPr>
        <w:pStyle w:val="ListParagraph"/>
        <w:numPr>
          <w:ilvl w:val="1"/>
          <w:numId w:val="10"/>
        </w:numPr>
        <w:rPr>
          <w:bCs/>
          <w:highlight w:val="yellow"/>
        </w:rPr>
      </w:pPr>
      <w:r w:rsidRPr="00713D76">
        <w:rPr>
          <w:bCs/>
          <w:highlight w:val="yellow"/>
        </w:rPr>
        <w:t xml:space="preserve">This requirement aligns with the department’s designation as a Quality Academic Program (QAP) as approved by the Board of Certified Safety Professionals (BCSP). </w:t>
      </w:r>
    </w:p>
    <w:p w14:paraId="1A8C8B87" w14:textId="35A16B4D" w:rsidR="00594074" w:rsidRPr="00713D76" w:rsidRDefault="00E65CAB" w:rsidP="00594074">
      <w:pPr>
        <w:pStyle w:val="ListParagraph"/>
        <w:numPr>
          <w:ilvl w:val="1"/>
          <w:numId w:val="10"/>
        </w:numPr>
        <w:rPr>
          <w:bCs/>
          <w:highlight w:val="yellow"/>
        </w:rPr>
      </w:pPr>
      <w:r w:rsidRPr="00713D76">
        <w:rPr>
          <w:bCs/>
          <w:highlight w:val="yellow"/>
        </w:rPr>
        <w:t>Substitution of these requirements may be approved by the department upon documented majority vote or written approval from the department chair.</w:t>
      </w:r>
    </w:p>
    <w:p w14:paraId="2565048C" w14:textId="4D875473" w:rsidR="00283040" w:rsidRPr="00594074" w:rsidRDefault="00283040" w:rsidP="00594074">
      <w:pPr>
        <w:rPr>
          <w:bCs/>
        </w:rPr>
      </w:pPr>
      <w:r w:rsidRPr="00713D76">
        <w:rPr>
          <w:bCs/>
          <w:highlight w:val="yellow"/>
        </w:rPr>
        <w:t>It's imperative that our faculty hold these credentials to set an example and prepare our students, who are expected to achieve the Graduate Safety Professional (GSP) designation upon completing their studies.</w:t>
      </w:r>
      <w:r w:rsidRPr="00594074">
        <w:rPr>
          <w:bCs/>
        </w:rPr>
        <w:t xml:space="preserve"> </w:t>
      </w:r>
    </w:p>
    <w:p w14:paraId="3830BD46" w14:textId="77777777" w:rsidR="00971A67" w:rsidRPr="00664AC4" w:rsidRDefault="00971A67" w:rsidP="00971A67">
      <w:pPr>
        <w:rPr>
          <w:b/>
        </w:rPr>
      </w:pPr>
      <w:r w:rsidRPr="00664AC4">
        <w:rPr>
          <w:b/>
        </w:rPr>
        <w:lastRenderedPageBreak/>
        <w:t xml:space="preserve">Teaching and Advising in </w:t>
      </w:r>
      <w:r w:rsidR="00EA49F9">
        <w:rPr>
          <w:b/>
        </w:rPr>
        <w:t>SOHAS</w:t>
      </w:r>
      <w:r w:rsidRPr="00664AC4">
        <w:rPr>
          <w:b/>
        </w:rPr>
        <w:t>:</w:t>
      </w:r>
    </w:p>
    <w:p w14:paraId="40D9F81A" w14:textId="77777777" w:rsidR="00971A67" w:rsidRPr="00456FDF" w:rsidRDefault="00971A67" w:rsidP="00456FDF">
      <w:pPr>
        <w:spacing w:after="0" w:line="240" w:lineRule="auto"/>
        <w:rPr>
          <w:rFonts w:eastAsia="Times New Roman"/>
          <w:lang w:eastAsia="ja-JP"/>
        </w:rPr>
      </w:pPr>
      <w:r w:rsidRPr="00664AC4">
        <w:t>The primary responsibility of a faculty member at Keene State is</w:t>
      </w:r>
      <w:r>
        <w:t xml:space="preserve"> to </w:t>
      </w:r>
      <w:r w:rsidR="00456FDF">
        <w:t xml:space="preserve">create sand </w:t>
      </w:r>
      <w:r>
        <w:t>provide ideal circumstances</w:t>
      </w:r>
      <w:r w:rsidR="00456FDF">
        <w:t xml:space="preserve"> </w:t>
      </w:r>
      <w:r>
        <w:t xml:space="preserve">for students </w:t>
      </w:r>
      <w:r w:rsidR="00456FDF">
        <w:t>"</w:t>
      </w:r>
      <w:r w:rsidR="00456FDF" w:rsidRPr="00456FDF">
        <w:rPr>
          <w:rFonts w:eastAsia="Times New Roman"/>
          <w:lang w:eastAsia="ja-JP"/>
        </w:rPr>
        <w:t>to think critically and creatively, to engage in active citizenship, and to pursue meaningful work</w:t>
      </w:r>
      <w:r>
        <w:t>.</w:t>
      </w:r>
      <w:r w:rsidR="00456FDF">
        <w:rPr>
          <w:rStyle w:val="FootnoteReference"/>
        </w:rPr>
        <w:footnoteReference w:id="5"/>
      </w:r>
      <w:r w:rsidR="00456FDF">
        <w:t>"</w:t>
      </w:r>
      <w:r>
        <w:t xml:space="preserve"> Critical to the teaching and learning process is an objective assessment of one’s teaching, and subsequent changes</w:t>
      </w:r>
      <w:r w:rsidR="0060282B">
        <w:t xml:space="preserve"> to enhance learning outcomes. </w:t>
      </w:r>
      <w:r>
        <w:t>Teaching e</w:t>
      </w:r>
      <w:r w:rsidRPr="00664AC4">
        <w:t xml:space="preserve">ffectiveness is ultimately measured by student learning, not faculty knowledge or actions.  Evidence of teaching effectiveness should </w:t>
      </w:r>
      <w:r>
        <w:t xml:space="preserve">focus on assessment of </w:t>
      </w:r>
      <w:r w:rsidRPr="00664AC4">
        <w:t>student learning</w:t>
      </w:r>
      <w:r>
        <w:t xml:space="preserve"> and subsequent course or program changes demonstrating improvement.</w:t>
      </w:r>
    </w:p>
    <w:p w14:paraId="050FD6D7" w14:textId="77777777" w:rsidR="00971A67" w:rsidRPr="00664AC4" w:rsidRDefault="00971A67" w:rsidP="00971A67">
      <w:r w:rsidRPr="00664AC4">
        <w:t xml:space="preserve">Evidence of teaching effectiveness </w:t>
      </w:r>
      <w:r>
        <w:t>should include</w:t>
      </w:r>
      <w:r w:rsidRPr="00664AC4">
        <w:t xml:space="preserve"> </w:t>
      </w:r>
      <w:r>
        <w:t>(</w:t>
      </w:r>
      <w:r w:rsidRPr="00664AC4">
        <w:t>but is not limited to</w:t>
      </w:r>
      <w:r>
        <w:t>)</w:t>
      </w:r>
      <w:r w:rsidRPr="00664AC4">
        <w:t>:</w:t>
      </w:r>
    </w:p>
    <w:p w14:paraId="4BB19DF8" w14:textId="77777777" w:rsidR="00971A67" w:rsidRDefault="00971A67" w:rsidP="00971A67">
      <w:pPr>
        <w:pStyle w:val="ListParagraph"/>
        <w:numPr>
          <w:ilvl w:val="0"/>
          <w:numId w:val="2"/>
        </w:numPr>
        <w:spacing w:after="0"/>
      </w:pPr>
      <w:r>
        <w:t>Examples of teaching methods employing high impact practices</w:t>
      </w:r>
      <w:r>
        <w:rPr>
          <w:rStyle w:val="FootnoteReference"/>
        </w:rPr>
        <w:footnoteReference w:id="6"/>
      </w:r>
      <w:r>
        <w:t xml:space="preserve"> (where feasible) and evidence of student learning</w:t>
      </w:r>
      <w:r w:rsidR="00753047">
        <w:t>.</w:t>
      </w:r>
    </w:p>
    <w:p w14:paraId="7805FED8" w14:textId="77777777" w:rsidR="00971A67" w:rsidRDefault="00971A67" w:rsidP="00971A67">
      <w:pPr>
        <w:pStyle w:val="ListParagraph"/>
        <w:numPr>
          <w:ilvl w:val="0"/>
          <w:numId w:val="2"/>
        </w:numPr>
        <w:spacing w:after="0"/>
      </w:pPr>
      <w:r>
        <w:t>Examples of student assignments (not meeting, meeting and exceeding expectations) reflecting the course learning outcomes.</w:t>
      </w:r>
    </w:p>
    <w:p w14:paraId="190E96D0" w14:textId="602BB4F4" w:rsidR="00971A67" w:rsidRPr="00664AC4" w:rsidRDefault="00971A67" w:rsidP="00971A67">
      <w:pPr>
        <w:pStyle w:val="ListParagraph"/>
        <w:numPr>
          <w:ilvl w:val="0"/>
          <w:numId w:val="2"/>
        </w:numPr>
        <w:spacing w:after="0"/>
      </w:pPr>
      <w:r>
        <w:t xml:space="preserve">Assessment integration or evidence of teaching or course changes made following assessment of data compared to desired learning outcomes. Data may </w:t>
      </w:r>
      <w:r w:rsidR="000C33F6">
        <w:t>include</w:t>
      </w:r>
      <w:r>
        <w:t xml:space="preserve"> anonymous </w:t>
      </w:r>
      <w:r w:rsidRPr="00664AC4">
        <w:t xml:space="preserve">student </w:t>
      </w:r>
      <w:r>
        <w:t xml:space="preserve">feedback, mid and final course </w:t>
      </w:r>
      <w:r w:rsidR="000C33F6" w:rsidRPr="00664AC4">
        <w:t xml:space="preserve">evaluations, </w:t>
      </w:r>
      <w:r w:rsidR="000C33F6">
        <w:t>and</w:t>
      </w:r>
      <w:r>
        <w:t xml:space="preserve"> peer observations.</w:t>
      </w:r>
    </w:p>
    <w:p w14:paraId="5FBC643B" w14:textId="6A983139" w:rsidR="00971A67" w:rsidRPr="00664AC4" w:rsidRDefault="00971A67" w:rsidP="00971A67">
      <w:pPr>
        <w:pStyle w:val="ListParagraph"/>
        <w:numPr>
          <w:ilvl w:val="0"/>
          <w:numId w:val="2"/>
        </w:numPr>
        <w:spacing w:after="0"/>
      </w:pPr>
      <w:r w:rsidRPr="00664AC4">
        <w:t xml:space="preserve">Teaching or student documents that demonstrate preparation for classes such as effective communication with students; effective use of class time; encouragement of responsible, independent, </w:t>
      </w:r>
      <w:r w:rsidR="000C33F6" w:rsidRPr="00664AC4">
        <w:t>analytic,</w:t>
      </w:r>
      <w:r w:rsidRPr="00664AC4">
        <w:t xml:space="preserve"> or creative thought by students; academic demands appropriate for the level of the course; fair, </w:t>
      </w:r>
      <w:r w:rsidR="000C33F6" w:rsidRPr="00664AC4">
        <w:t>careful,</w:t>
      </w:r>
      <w:r w:rsidRPr="00664AC4">
        <w:t xml:space="preserve"> and prompt evaluation of student work; organization of materials; efforts to improve teaching skills; attention to differences in </w:t>
      </w:r>
      <w:r w:rsidR="000C33F6" w:rsidRPr="00664AC4">
        <w:t>students’</w:t>
      </w:r>
      <w:r w:rsidRPr="00664AC4">
        <w:t xml:space="preserve"> goals, strengths, weaknesses, and learning </w:t>
      </w:r>
      <w:r w:rsidR="000C33F6" w:rsidRPr="00664AC4">
        <w:t>styles.</w:t>
      </w:r>
    </w:p>
    <w:p w14:paraId="595E0DE3" w14:textId="77777777" w:rsidR="00971A67" w:rsidRPr="00664AC4" w:rsidRDefault="00971A67" w:rsidP="00971A67">
      <w:pPr>
        <w:pStyle w:val="ListParagraph"/>
        <w:numPr>
          <w:ilvl w:val="0"/>
          <w:numId w:val="2"/>
        </w:numPr>
        <w:spacing w:after="0"/>
      </w:pPr>
      <w:r w:rsidRPr="00664AC4">
        <w:t>Evidence of availability to students for out-of-the class help</w:t>
      </w:r>
    </w:p>
    <w:p w14:paraId="0847B13C" w14:textId="30C279BA" w:rsidR="00971A67" w:rsidRPr="00664AC4" w:rsidRDefault="00971A67" w:rsidP="00971A67">
      <w:pPr>
        <w:pStyle w:val="ListParagraph"/>
        <w:numPr>
          <w:ilvl w:val="0"/>
          <w:numId w:val="2"/>
        </w:numPr>
        <w:spacing w:after="0"/>
      </w:pPr>
      <w:r w:rsidRPr="00664AC4">
        <w:t xml:space="preserve">Demonstration(s) of comprehensive, </w:t>
      </w:r>
      <w:r w:rsidR="000C33F6" w:rsidRPr="00664AC4">
        <w:t>extensive,</w:t>
      </w:r>
      <w:r w:rsidRPr="00664AC4">
        <w:t xml:space="preserve"> and current knowledge of subject areas</w:t>
      </w:r>
    </w:p>
    <w:p w14:paraId="4166F043" w14:textId="77777777" w:rsidR="00971A67" w:rsidRPr="00664AC4" w:rsidRDefault="00971A67" w:rsidP="00971A67">
      <w:pPr>
        <w:pStyle w:val="ListParagraph"/>
        <w:numPr>
          <w:ilvl w:val="0"/>
          <w:numId w:val="2"/>
        </w:numPr>
        <w:spacing w:after="0"/>
      </w:pPr>
      <w:r w:rsidRPr="00664AC4">
        <w:t>Willing, conscientious, and effective academic advisement</w:t>
      </w:r>
    </w:p>
    <w:p w14:paraId="251C0D4A" w14:textId="77777777" w:rsidR="00971A67" w:rsidRPr="00664AC4" w:rsidRDefault="00971A67" w:rsidP="00971A67">
      <w:pPr>
        <w:pStyle w:val="ListParagraph"/>
        <w:numPr>
          <w:ilvl w:val="0"/>
          <w:numId w:val="2"/>
        </w:numPr>
        <w:spacing w:after="0"/>
      </w:pPr>
      <w:r w:rsidRPr="00664AC4">
        <w:t>Mentoring students’ professional development (i.e. encouraging membership in professional organizations, attendance at professional meetings and workshops, working collaboratively on projects, etc.)</w:t>
      </w:r>
    </w:p>
    <w:p w14:paraId="40368648" w14:textId="77777777" w:rsidR="00971A67" w:rsidRPr="00664AC4" w:rsidRDefault="00971A67" w:rsidP="00971A67">
      <w:pPr>
        <w:pStyle w:val="ListParagraph"/>
      </w:pPr>
    </w:p>
    <w:p w14:paraId="06CA4D0E" w14:textId="77777777" w:rsidR="006F1CE9" w:rsidRPr="00664AC4" w:rsidRDefault="006F1CE9" w:rsidP="006F1CE9">
      <w:pPr>
        <w:rPr>
          <w:b/>
        </w:rPr>
      </w:pPr>
      <w:r w:rsidRPr="00664AC4">
        <w:rPr>
          <w:b/>
          <w:u w:val="single"/>
        </w:rPr>
        <w:t xml:space="preserve">Scholarship and Related Professional Activity in </w:t>
      </w:r>
      <w:r w:rsidR="00664AC4">
        <w:rPr>
          <w:b/>
          <w:u w:val="single"/>
        </w:rPr>
        <w:t>Safety</w:t>
      </w:r>
      <w:r w:rsidRPr="00664AC4">
        <w:rPr>
          <w:b/>
          <w:u w:val="single"/>
        </w:rPr>
        <w:t xml:space="preserve">: </w:t>
      </w:r>
    </w:p>
    <w:p w14:paraId="19FABDD9" w14:textId="77777777" w:rsidR="006F1CE9" w:rsidRPr="00664AC4" w:rsidRDefault="006F1CE9" w:rsidP="006F1CE9">
      <w:pPr>
        <w:pStyle w:val="BodyText"/>
        <w:rPr>
          <w:szCs w:val="24"/>
        </w:rPr>
      </w:pPr>
      <w:r w:rsidRPr="00664AC4">
        <w:rPr>
          <w:szCs w:val="24"/>
        </w:rPr>
        <w:t xml:space="preserve">Scholarship for the </w:t>
      </w:r>
      <w:r w:rsidR="003602B3" w:rsidRPr="00664AC4">
        <w:rPr>
          <w:szCs w:val="24"/>
        </w:rPr>
        <w:t xml:space="preserve">purposes of the </w:t>
      </w:r>
      <w:r w:rsidRPr="00664AC4">
        <w:rPr>
          <w:szCs w:val="24"/>
        </w:rPr>
        <w:t xml:space="preserve">DPEC process </w:t>
      </w:r>
      <w:r w:rsidR="00664AC4">
        <w:rPr>
          <w:szCs w:val="24"/>
        </w:rPr>
        <w:t>are</w:t>
      </w:r>
      <w:r w:rsidRPr="00664AC4">
        <w:rPr>
          <w:szCs w:val="24"/>
        </w:rPr>
        <w:t xml:space="preserve"> defined as: research, critical writing reach</w:t>
      </w:r>
      <w:r w:rsidR="00FC4A07">
        <w:rPr>
          <w:szCs w:val="24"/>
        </w:rPr>
        <w:t>ing</w:t>
      </w:r>
      <w:r w:rsidRPr="00664AC4">
        <w:rPr>
          <w:szCs w:val="24"/>
        </w:rPr>
        <w:t xml:space="preserve"> a professional audience, curriculum development</w:t>
      </w:r>
      <w:r w:rsidR="00FC4A07">
        <w:rPr>
          <w:szCs w:val="24"/>
        </w:rPr>
        <w:t>, teaching and assessment</w:t>
      </w:r>
      <w:r w:rsidRPr="00664AC4">
        <w:rPr>
          <w:szCs w:val="24"/>
        </w:rPr>
        <w:t xml:space="preserve">, professional presentations, certification and licensure, and service to the profession.  </w:t>
      </w:r>
    </w:p>
    <w:p w14:paraId="4351E44E" w14:textId="77777777" w:rsidR="006F1CE9" w:rsidRPr="00664AC4" w:rsidRDefault="006F1CE9" w:rsidP="006F1CE9">
      <w:pPr>
        <w:pStyle w:val="BodyText"/>
        <w:rPr>
          <w:szCs w:val="24"/>
        </w:rPr>
      </w:pPr>
    </w:p>
    <w:p w14:paraId="37B06033" w14:textId="318C6F68" w:rsidR="006F1CE9" w:rsidRPr="00664AC4" w:rsidRDefault="006F1CE9" w:rsidP="00DB03F0">
      <w:pPr>
        <w:pStyle w:val="BodyText"/>
        <w:numPr>
          <w:ilvl w:val="0"/>
          <w:numId w:val="3"/>
        </w:numPr>
        <w:ind w:left="720"/>
        <w:rPr>
          <w:szCs w:val="24"/>
        </w:rPr>
      </w:pPr>
      <w:r w:rsidRPr="00664AC4">
        <w:rPr>
          <w:szCs w:val="24"/>
        </w:rPr>
        <w:t xml:space="preserve">Research and critical writing published (written or via the world-wide web) as journal articles, essays, reviews, books, or monographs, or presented orally at regional, </w:t>
      </w:r>
      <w:r w:rsidR="000C33F6" w:rsidRPr="00664AC4">
        <w:rPr>
          <w:szCs w:val="24"/>
        </w:rPr>
        <w:t>national,</w:t>
      </w:r>
      <w:r w:rsidRPr="00664AC4">
        <w:rPr>
          <w:szCs w:val="24"/>
        </w:rPr>
        <w:t xml:space="preserve"> and international conferences</w:t>
      </w:r>
      <w:r w:rsidR="00E1531E">
        <w:rPr>
          <w:szCs w:val="24"/>
        </w:rPr>
        <w:t>.</w:t>
      </w:r>
    </w:p>
    <w:p w14:paraId="04675288" w14:textId="768711FC" w:rsidR="006F1CE9" w:rsidRPr="00664AC4" w:rsidRDefault="006F1CE9" w:rsidP="00DB03F0">
      <w:pPr>
        <w:pStyle w:val="BodyText"/>
        <w:numPr>
          <w:ilvl w:val="0"/>
          <w:numId w:val="3"/>
        </w:numPr>
        <w:ind w:left="720"/>
        <w:rPr>
          <w:szCs w:val="24"/>
        </w:rPr>
      </w:pPr>
      <w:r w:rsidRPr="00664AC4">
        <w:rPr>
          <w:szCs w:val="24"/>
        </w:rPr>
        <w:t>Grant writing and conducting research related to one’s discipline</w:t>
      </w:r>
      <w:r w:rsidR="00E1531E">
        <w:rPr>
          <w:szCs w:val="24"/>
        </w:rPr>
        <w:t>.</w:t>
      </w:r>
    </w:p>
    <w:p w14:paraId="0AD5E242" w14:textId="7AF7F526" w:rsidR="006F1CE9" w:rsidRPr="00664AC4" w:rsidRDefault="006F1CE9" w:rsidP="00DB03F0">
      <w:pPr>
        <w:pStyle w:val="BodyText"/>
        <w:numPr>
          <w:ilvl w:val="0"/>
          <w:numId w:val="3"/>
        </w:numPr>
        <w:ind w:left="720"/>
        <w:rPr>
          <w:szCs w:val="24"/>
        </w:rPr>
      </w:pPr>
      <w:r w:rsidRPr="00664AC4">
        <w:rPr>
          <w:szCs w:val="24"/>
        </w:rPr>
        <w:t>Presentations at, or participation in, professional conferences, trainings</w:t>
      </w:r>
      <w:r w:rsidR="00E1531E">
        <w:rPr>
          <w:szCs w:val="24"/>
        </w:rPr>
        <w:t>,</w:t>
      </w:r>
      <w:r w:rsidRPr="00664AC4">
        <w:rPr>
          <w:szCs w:val="24"/>
        </w:rPr>
        <w:t xml:space="preserve"> and workshops</w:t>
      </w:r>
      <w:r w:rsidR="00E1531E">
        <w:rPr>
          <w:szCs w:val="24"/>
        </w:rPr>
        <w:t>.</w:t>
      </w:r>
    </w:p>
    <w:p w14:paraId="4A55AFF4" w14:textId="1584A4D9" w:rsidR="006F1CE9" w:rsidRPr="00664AC4" w:rsidRDefault="006F1CE9" w:rsidP="00DB03F0">
      <w:pPr>
        <w:pStyle w:val="BodyText"/>
        <w:numPr>
          <w:ilvl w:val="0"/>
          <w:numId w:val="3"/>
        </w:numPr>
        <w:ind w:left="720"/>
        <w:rPr>
          <w:szCs w:val="24"/>
        </w:rPr>
      </w:pPr>
      <w:r w:rsidRPr="00664AC4">
        <w:rPr>
          <w:szCs w:val="24"/>
        </w:rPr>
        <w:t>Continuing professional certification and licensure (as appropriate)</w:t>
      </w:r>
      <w:r w:rsidR="00E1531E">
        <w:rPr>
          <w:szCs w:val="24"/>
        </w:rPr>
        <w:t>.</w:t>
      </w:r>
    </w:p>
    <w:p w14:paraId="544C0366" w14:textId="1CB4DDFE" w:rsidR="006F1CE9" w:rsidRPr="00664AC4" w:rsidRDefault="006F1CE9" w:rsidP="00DB03F0">
      <w:pPr>
        <w:pStyle w:val="BodyText"/>
        <w:numPr>
          <w:ilvl w:val="0"/>
          <w:numId w:val="3"/>
        </w:numPr>
        <w:ind w:left="720"/>
        <w:rPr>
          <w:szCs w:val="24"/>
        </w:rPr>
      </w:pPr>
      <w:r w:rsidRPr="00664AC4">
        <w:rPr>
          <w:szCs w:val="24"/>
        </w:rPr>
        <w:t xml:space="preserve">Service to the profession (relevant professional activity) may include </w:t>
      </w:r>
      <w:r w:rsidR="00C2715F">
        <w:rPr>
          <w:szCs w:val="24"/>
        </w:rPr>
        <w:t xml:space="preserve">engaged membership and/or </w:t>
      </w:r>
      <w:r w:rsidRPr="00664AC4">
        <w:rPr>
          <w:szCs w:val="24"/>
        </w:rPr>
        <w:t>leadership positions in professional organizations, refereeing articles for scholarly journals, editing scholarly journals, reviewing textbooks related to one’s discipline, preparation of accreditation documents, serving as a respondent on professional panels, facilitating in-service training for professionals, consulting or advising with professional/academic organizations, and chairing or organizing sessions at professional/academic conferences</w:t>
      </w:r>
      <w:r w:rsidR="00E1531E">
        <w:rPr>
          <w:szCs w:val="24"/>
        </w:rPr>
        <w:t>.</w:t>
      </w:r>
    </w:p>
    <w:p w14:paraId="032B3F25" w14:textId="77777777" w:rsidR="006F1CE9" w:rsidRPr="00664AC4" w:rsidRDefault="006F1CE9" w:rsidP="00DB03F0">
      <w:pPr>
        <w:pStyle w:val="BodyText"/>
        <w:numPr>
          <w:ilvl w:val="0"/>
          <w:numId w:val="3"/>
        </w:numPr>
        <w:ind w:left="720"/>
        <w:rPr>
          <w:szCs w:val="24"/>
        </w:rPr>
      </w:pPr>
      <w:r w:rsidRPr="00664AC4">
        <w:rPr>
          <w:szCs w:val="24"/>
        </w:rPr>
        <w:t>The development of new curriculum</w:t>
      </w:r>
      <w:r w:rsidR="00C2715F">
        <w:rPr>
          <w:szCs w:val="24"/>
        </w:rPr>
        <w:t>, demonstration of teaching excellence and/or application of high-impact teaching practices, and program enhancements resulting from the assessment process.</w:t>
      </w:r>
    </w:p>
    <w:p w14:paraId="2D220ED0" w14:textId="77777777" w:rsidR="006F1CE9" w:rsidRPr="00664AC4" w:rsidRDefault="006F1CE9" w:rsidP="006F1CE9">
      <w:pPr>
        <w:pStyle w:val="BodyText"/>
        <w:ind w:left="720"/>
        <w:rPr>
          <w:szCs w:val="24"/>
        </w:rPr>
      </w:pPr>
      <w:r w:rsidRPr="00664AC4">
        <w:rPr>
          <w:szCs w:val="24"/>
        </w:rPr>
        <w:t> </w:t>
      </w:r>
    </w:p>
    <w:p w14:paraId="0E9F0707" w14:textId="7664607C" w:rsidR="006F1CE9" w:rsidRDefault="006F1CE9" w:rsidP="00C73BA5">
      <w:pPr>
        <w:pStyle w:val="BodyText"/>
        <w:rPr>
          <w:szCs w:val="24"/>
        </w:rPr>
      </w:pPr>
      <w:r w:rsidRPr="00664AC4">
        <w:rPr>
          <w:szCs w:val="24"/>
        </w:rPr>
        <w:t xml:space="preserve">This is not intended to be an exclusive definition of scholarship and obviously does not include everything that might be defined as “related professional activities.”  Candidates may propose achievements they feel are </w:t>
      </w:r>
      <w:r w:rsidR="00E1531E" w:rsidRPr="00664AC4">
        <w:rPr>
          <w:szCs w:val="24"/>
        </w:rPr>
        <w:t>appropriate but</w:t>
      </w:r>
      <w:r w:rsidRPr="00664AC4">
        <w:rPr>
          <w:szCs w:val="24"/>
        </w:rPr>
        <w:t xml:space="preserve"> will be expected to explain how their activities fit into either the department’s or the college’s definition of “scholarship and related professional activities.”  Work acceptable for consideration must also be broadly related to the faculty member’s professional field.  Though work completed over the entire course of the applicant’s career will be recognized, evidence of recent (since previous promotion) and ongoing scholarship </w:t>
      </w:r>
      <w:r w:rsidR="00DB03F0">
        <w:rPr>
          <w:szCs w:val="24"/>
        </w:rPr>
        <w:t>are</w:t>
      </w:r>
      <w:r w:rsidRPr="00664AC4">
        <w:rPr>
          <w:szCs w:val="24"/>
        </w:rPr>
        <w:t xml:space="preserve"> required.  </w:t>
      </w:r>
    </w:p>
    <w:p w14:paraId="05DD4A46" w14:textId="77777777" w:rsidR="00EA49F9" w:rsidRPr="00664AC4" w:rsidRDefault="00EA49F9" w:rsidP="00C73BA5">
      <w:pPr>
        <w:pStyle w:val="BodyText"/>
      </w:pPr>
    </w:p>
    <w:p w14:paraId="157711C9" w14:textId="77777777" w:rsidR="006F1CE9" w:rsidRDefault="006F1CE9" w:rsidP="00C73BA5">
      <w:pPr>
        <w:pStyle w:val="BodyText"/>
        <w:rPr>
          <w:b/>
          <w:u w:val="single"/>
        </w:rPr>
      </w:pPr>
      <w:r w:rsidRPr="00664AC4">
        <w:rPr>
          <w:b/>
          <w:u w:val="single"/>
        </w:rPr>
        <w:t xml:space="preserve">Service </w:t>
      </w:r>
      <w:r w:rsidR="00E8219F">
        <w:rPr>
          <w:b/>
          <w:u w:val="single"/>
        </w:rPr>
        <w:t xml:space="preserve">in </w:t>
      </w:r>
      <w:r w:rsidR="00EA49F9">
        <w:rPr>
          <w:b/>
          <w:u w:val="single"/>
        </w:rPr>
        <w:t>SOHAS</w:t>
      </w:r>
    </w:p>
    <w:p w14:paraId="13F201E5" w14:textId="77777777" w:rsidR="00C73BA5" w:rsidRPr="00C73BA5" w:rsidRDefault="00C73BA5" w:rsidP="00C73BA5">
      <w:pPr>
        <w:pStyle w:val="BodyText"/>
        <w:rPr>
          <w:szCs w:val="24"/>
        </w:rPr>
      </w:pPr>
    </w:p>
    <w:p w14:paraId="463F78AC" w14:textId="40017C8A" w:rsidR="006F1CE9" w:rsidRPr="00664AC4" w:rsidRDefault="006F1CE9" w:rsidP="006F1CE9">
      <w:r w:rsidRPr="00664AC4">
        <w:t>Service is defined as participation in the intellectual and organizational life of Keene State College. Service includes activities provided by faculty that contribute to the aims and goals of the department, the school, the college, and the greater community.</w:t>
      </w:r>
    </w:p>
    <w:p w14:paraId="0C052718" w14:textId="77777777" w:rsidR="006F1CE9" w:rsidRPr="00664AC4" w:rsidRDefault="006F1CE9" w:rsidP="006F1CE9">
      <w:r w:rsidRPr="00664AC4">
        <w:t xml:space="preserve">     Evidence of service may include, but is not limited to:</w:t>
      </w:r>
    </w:p>
    <w:p w14:paraId="3CB97792" w14:textId="2B6E53F7" w:rsidR="006F1CE9" w:rsidRPr="00664AC4" w:rsidRDefault="006F1CE9" w:rsidP="006F1CE9">
      <w:pPr>
        <w:pStyle w:val="ListParagraph"/>
        <w:numPr>
          <w:ilvl w:val="0"/>
          <w:numId w:val="1"/>
        </w:numPr>
        <w:autoSpaceDE w:val="0"/>
        <w:autoSpaceDN w:val="0"/>
        <w:adjustRightInd w:val="0"/>
        <w:spacing w:after="0" w:line="240" w:lineRule="auto"/>
      </w:pPr>
      <w:r w:rsidRPr="00664AC4">
        <w:t xml:space="preserve">Aid to colleagues as a guest lecturer or resource </w:t>
      </w:r>
      <w:r w:rsidR="000C33F6" w:rsidRPr="00664AC4">
        <w:t>person.</w:t>
      </w:r>
    </w:p>
    <w:p w14:paraId="322CEA31" w14:textId="77777777" w:rsidR="00E8219F" w:rsidRPr="00664AC4" w:rsidRDefault="00E8219F" w:rsidP="00E8219F">
      <w:pPr>
        <w:pStyle w:val="ListParagraph"/>
        <w:numPr>
          <w:ilvl w:val="0"/>
          <w:numId w:val="1"/>
        </w:numPr>
        <w:autoSpaceDE w:val="0"/>
        <w:autoSpaceDN w:val="0"/>
        <w:adjustRightInd w:val="0"/>
        <w:spacing w:after="0" w:line="240" w:lineRule="auto"/>
      </w:pPr>
      <w:r w:rsidRPr="00664AC4">
        <w:t>Participation on department, school, college and/or community committees and coalitions</w:t>
      </w:r>
    </w:p>
    <w:p w14:paraId="00211E97" w14:textId="49E2B32B" w:rsidR="00E8219F" w:rsidRPr="00664AC4" w:rsidRDefault="00E8219F" w:rsidP="00E8219F">
      <w:pPr>
        <w:pStyle w:val="ListParagraph"/>
        <w:numPr>
          <w:ilvl w:val="0"/>
          <w:numId w:val="1"/>
        </w:numPr>
        <w:autoSpaceDE w:val="0"/>
        <w:autoSpaceDN w:val="0"/>
        <w:adjustRightInd w:val="0"/>
        <w:spacing w:after="0" w:line="240" w:lineRule="auto"/>
      </w:pPr>
      <w:r w:rsidRPr="00664AC4">
        <w:t xml:space="preserve">Leadership roles within the department, school, </w:t>
      </w:r>
      <w:r w:rsidR="000C33F6" w:rsidRPr="00664AC4">
        <w:t>college,</w:t>
      </w:r>
      <w:r w:rsidRPr="00664AC4">
        <w:t xml:space="preserve"> and community</w:t>
      </w:r>
    </w:p>
    <w:p w14:paraId="119F3098" w14:textId="7E16C3A0" w:rsidR="006F1CE9" w:rsidRPr="00664AC4" w:rsidRDefault="006F1CE9" w:rsidP="006F1CE9">
      <w:pPr>
        <w:pStyle w:val="ListParagraph"/>
        <w:numPr>
          <w:ilvl w:val="0"/>
          <w:numId w:val="1"/>
        </w:numPr>
        <w:autoSpaceDE w:val="0"/>
        <w:autoSpaceDN w:val="0"/>
        <w:adjustRightInd w:val="0"/>
        <w:spacing w:after="0" w:line="240" w:lineRule="auto"/>
      </w:pPr>
      <w:r w:rsidRPr="00664AC4">
        <w:t xml:space="preserve">Service on accreditation teams for College </w:t>
      </w:r>
      <w:r w:rsidR="000C33F6" w:rsidRPr="00664AC4">
        <w:t>programs.</w:t>
      </w:r>
    </w:p>
    <w:p w14:paraId="2317F15E" w14:textId="77777777" w:rsidR="006F1CE9" w:rsidRPr="00664AC4" w:rsidRDefault="006F1CE9" w:rsidP="006F1CE9">
      <w:pPr>
        <w:pStyle w:val="ListParagraph"/>
        <w:numPr>
          <w:ilvl w:val="0"/>
          <w:numId w:val="1"/>
        </w:numPr>
        <w:autoSpaceDE w:val="0"/>
        <w:autoSpaceDN w:val="0"/>
        <w:adjustRightInd w:val="0"/>
        <w:spacing w:after="0" w:line="240" w:lineRule="auto"/>
      </w:pPr>
      <w:r w:rsidRPr="00664AC4">
        <w:t>Contributions of professional expertise to community committees, boards, and coalitions</w:t>
      </w:r>
    </w:p>
    <w:p w14:paraId="68936331" w14:textId="77777777" w:rsidR="006F1CE9" w:rsidRPr="00664AC4" w:rsidRDefault="006F1CE9" w:rsidP="006F1CE9">
      <w:pPr>
        <w:pStyle w:val="ListParagraph"/>
        <w:numPr>
          <w:ilvl w:val="0"/>
          <w:numId w:val="1"/>
        </w:numPr>
        <w:autoSpaceDE w:val="0"/>
        <w:autoSpaceDN w:val="0"/>
        <w:adjustRightInd w:val="0"/>
        <w:spacing w:after="0" w:line="240" w:lineRule="auto"/>
      </w:pPr>
      <w:r w:rsidRPr="00664AC4">
        <w:t>Advising student organizations</w:t>
      </w:r>
    </w:p>
    <w:p w14:paraId="79513C1E" w14:textId="77777777" w:rsidR="00E8219F" w:rsidRPr="00664AC4" w:rsidRDefault="00E8219F" w:rsidP="00E8219F">
      <w:pPr>
        <w:pStyle w:val="ListParagraph"/>
        <w:numPr>
          <w:ilvl w:val="0"/>
          <w:numId w:val="1"/>
        </w:numPr>
        <w:autoSpaceDE w:val="0"/>
        <w:autoSpaceDN w:val="0"/>
        <w:adjustRightInd w:val="0"/>
        <w:spacing w:after="0" w:line="240" w:lineRule="auto"/>
      </w:pPr>
      <w:r w:rsidRPr="00664AC4">
        <w:t>Management and organization of curriculum</w:t>
      </w:r>
    </w:p>
    <w:p w14:paraId="3C7C4BA0" w14:textId="7E50C568" w:rsidR="006F1CE9" w:rsidRPr="00664AC4" w:rsidRDefault="00E8219F" w:rsidP="00EA49F9">
      <w:pPr>
        <w:pStyle w:val="ListParagraph"/>
        <w:numPr>
          <w:ilvl w:val="0"/>
          <w:numId w:val="1"/>
        </w:numPr>
        <w:autoSpaceDE w:val="0"/>
        <w:autoSpaceDN w:val="0"/>
        <w:adjustRightInd w:val="0"/>
        <w:spacing w:after="0" w:line="240" w:lineRule="auto"/>
      </w:pPr>
      <w:r w:rsidRPr="00664AC4">
        <w:t xml:space="preserve">Other service contributions to the College – special projects or roles, including </w:t>
      </w:r>
      <w:r w:rsidR="000C33F6" w:rsidRPr="00664AC4">
        <w:t>reassignments.</w:t>
      </w:r>
    </w:p>
    <w:p w14:paraId="0A4340F5" w14:textId="77777777" w:rsidR="00DB03F0" w:rsidRDefault="00DB03F0" w:rsidP="006F1CE9">
      <w:pPr>
        <w:pStyle w:val="ListParagraph"/>
        <w:autoSpaceDE w:val="0"/>
        <w:autoSpaceDN w:val="0"/>
        <w:adjustRightInd w:val="0"/>
        <w:spacing w:after="0" w:line="240" w:lineRule="auto"/>
      </w:pPr>
    </w:p>
    <w:p w14:paraId="25365B44" w14:textId="0DB450C5" w:rsidR="006F1CE9" w:rsidRDefault="006F1CE9" w:rsidP="006F1CE9">
      <w:pPr>
        <w:pStyle w:val="ListParagraph"/>
        <w:autoSpaceDE w:val="0"/>
        <w:autoSpaceDN w:val="0"/>
        <w:adjustRightInd w:val="0"/>
        <w:spacing w:after="0" w:line="240" w:lineRule="auto"/>
      </w:pPr>
      <w:r w:rsidRPr="00664AC4">
        <w:t>NOTE:  Certain achievements have aspects of teaching, service, and scholarship and</w:t>
      </w:r>
      <w:r w:rsidR="00DB03F0">
        <w:t>,</w:t>
      </w:r>
      <w:r w:rsidRPr="00664AC4">
        <w:t xml:space="preserve"> therefore</w:t>
      </w:r>
      <w:r w:rsidR="00DB03F0">
        <w:t>,</w:t>
      </w:r>
      <w:r w:rsidRPr="00664AC4">
        <w:t xml:space="preserve"> the candidate must clarify wh</w:t>
      </w:r>
      <w:r w:rsidR="00DB03F0">
        <w:t>ich</w:t>
      </w:r>
      <w:r w:rsidRPr="00664AC4">
        <w:t xml:space="preserve"> aspects fall under </w:t>
      </w:r>
      <w:r w:rsidR="00DB03F0">
        <w:t>each</w:t>
      </w:r>
      <w:r w:rsidRPr="00664AC4">
        <w:t xml:space="preserve"> category.</w:t>
      </w:r>
    </w:p>
    <w:p w14:paraId="70094EB0" w14:textId="77777777" w:rsidR="000C33F6" w:rsidRPr="00664AC4" w:rsidRDefault="000C33F6" w:rsidP="006F1CE9">
      <w:pPr>
        <w:pStyle w:val="ListParagraph"/>
        <w:autoSpaceDE w:val="0"/>
        <w:autoSpaceDN w:val="0"/>
        <w:adjustRightInd w:val="0"/>
        <w:spacing w:after="0" w:line="240" w:lineRule="auto"/>
      </w:pPr>
    </w:p>
    <w:p w14:paraId="1EDCA758" w14:textId="4BE6E073" w:rsidR="006F1CE9" w:rsidRDefault="00A61005" w:rsidP="006F1CE9">
      <w:pPr>
        <w:pStyle w:val="BodyText"/>
        <w:jc w:val="center"/>
        <w:rPr>
          <w:b/>
          <w:szCs w:val="24"/>
        </w:rPr>
      </w:pPr>
      <w:r>
        <w:rPr>
          <w:b/>
          <w:szCs w:val="24"/>
        </w:rPr>
        <w:t>DPEC</w:t>
      </w:r>
      <w:r w:rsidR="006F1CE9" w:rsidRPr="00664AC4">
        <w:rPr>
          <w:b/>
          <w:szCs w:val="24"/>
        </w:rPr>
        <w:t xml:space="preserve"> Expectations</w:t>
      </w:r>
      <w:r>
        <w:rPr>
          <w:rStyle w:val="FootnoteReference"/>
          <w:b/>
          <w:szCs w:val="24"/>
        </w:rPr>
        <w:footnoteReference w:id="7"/>
      </w:r>
    </w:p>
    <w:p w14:paraId="120CA035" w14:textId="77777777" w:rsidR="00C73BA5" w:rsidRDefault="00C73BA5" w:rsidP="006F1CE9">
      <w:pPr>
        <w:pStyle w:val="BodyText"/>
        <w:jc w:val="center"/>
        <w:rPr>
          <w:b/>
          <w:szCs w:val="24"/>
        </w:rPr>
      </w:pPr>
    </w:p>
    <w:p w14:paraId="09CF4BEE" w14:textId="6B5D44F7" w:rsidR="00E1531E" w:rsidRDefault="00E1531E" w:rsidP="00E1531E">
      <w:pPr>
        <w:pStyle w:val="BodyText"/>
        <w:rPr>
          <w:bCs/>
        </w:rPr>
      </w:pPr>
      <w:r w:rsidRPr="00E1531E">
        <w:rPr>
          <w:bCs/>
        </w:rPr>
        <w:t>Each level of professorship (Assistant, Associate, Full) has specific expectations regarding teaching &amp; advising, scholarship and service. These should be addressed in narrative form within the faculty member’s self-evaluation and within their portfolio. The guideline details the evolving responsibilities and contributions expected at each professorial level</w:t>
      </w:r>
      <w:r>
        <w:rPr>
          <w:bCs/>
        </w:rPr>
        <w:t>.</w:t>
      </w:r>
    </w:p>
    <w:p w14:paraId="483CCB9C" w14:textId="77777777" w:rsidR="00E1531E" w:rsidRPr="00E1531E" w:rsidRDefault="00E1531E" w:rsidP="00E1531E">
      <w:pPr>
        <w:pStyle w:val="BodyText"/>
        <w:rPr>
          <w:bCs/>
        </w:rPr>
      </w:pPr>
    </w:p>
    <w:p w14:paraId="70A0A480" w14:textId="77777777" w:rsidR="00E1531E" w:rsidRPr="00E1531E" w:rsidRDefault="00E1531E" w:rsidP="00E1531E">
      <w:pPr>
        <w:pStyle w:val="BodyText"/>
        <w:rPr>
          <w:bCs/>
        </w:rPr>
      </w:pPr>
      <w:r w:rsidRPr="00E1531E">
        <w:rPr>
          <w:bCs/>
        </w:rPr>
        <w:t xml:space="preserve">Specific Expectations for Each Professorial Level: </w:t>
      </w:r>
    </w:p>
    <w:p w14:paraId="03C96F48" w14:textId="77777777" w:rsidR="00E1531E" w:rsidRDefault="00E1531E" w:rsidP="00C73BA5">
      <w:pPr>
        <w:pStyle w:val="BodyText"/>
        <w:rPr>
          <w:b/>
          <w:szCs w:val="24"/>
        </w:rPr>
      </w:pPr>
    </w:p>
    <w:p w14:paraId="5F189678" w14:textId="3FBB5BAA" w:rsidR="00C73BA5" w:rsidRPr="000C33F6" w:rsidRDefault="00C73BA5" w:rsidP="00C73BA5">
      <w:pPr>
        <w:pStyle w:val="BodyText"/>
        <w:rPr>
          <w:b/>
          <w:szCs w:val="24"/>
        </w:rPr>
      </w:pPr>
      <w:r w:rsidRPr="00664AC4">
        <w:rPr>
          <w:b/>
          <w:szCs w:val="24"/>
        </w:rPr>
        <w:t>Ass</w:t>
      </w:r>
      <w:r w:rsidR="00B041A4">
        <w:rPr>
          <w:b/>
          <w:szCs w:val="24"/>
        </w:rPr>
        <w:t>istant</w:t>
      </w:r>
      <w:r w:rsidRPr="00664AC4">
        <w:rPr>
          <w:b/>
          <w:szCs w:val="24"/>
        </w:rPr>
        <w:t xml:space="preserve"> Professor</w:t>
      </w:r>
      <w:r w:rsidR="000C33F6">
        <w:rPr>
          <w:b/>
          <w:szCs w:val="24"/>
        </w:rPr>
        <w:t xml:space="preserve">.  </w:t>
      </w:r>
    </w:p>
    <w:p w14:paraId="15BF7D60" w14:textId="77777777" w:rsidR="00C73BA5" w:rsidRDefault="00C73BA5" w:rsidP="00C73BA5">
      <w:pPr>
        <w:pStyle w:val="BodyText"/>
        <w:rPr>
          <w:b/>
          <w:szCs w:val="24"/>
        </w:rPr>
      </w:pPr>
    </w:p>
    <w:p w14:paraId="6E3975FB" w14:textId="77777777" w:rsidR="00B041A4" w:rsidRDefault="00C73BA5" w:rsidP="00A61005">
      <w:pPr>
        <w:overflowPunct w:val="0"/>
        <w:adjustRightInd w:val="0"/>
        <w:ind w:left="360"/>
        <w:rPr>
          <w:b/>
        </w:rPr>
      </w:pPr>
      <w:r>
        <w:rPr>
          <w:b/>
        </w:rPr>
        <w:t xml:space="preserve">Advising: </w:t>
      </w:r>
    </w:p>
    <w:p w14:paraId="2D702189" w14:textId="77777777" w:rsidR="00C73BA5" w:rsidRDefault="00C73BA5" w:rsidP="00DB03F0">
      <w:pPr>
        <w:numPr>
          <w:ilvl w:val="0"/>
          <w:numId w:val="4"/>
        </w:numPr>
        <w:overflowPunct w:val="0"/>
        <w:adjustRightInd w:val="0"/>
        <w:spacing w:after="0"/>
      </w:pPr>
      <w:r w:rsidRPr="00664AC4">
        <w:t>First-year faculty are not expected to provide direct advising to students.</w:t>
      </w:r>
    </w:p>
    <w:p w14:paraId="41C34848" w14:textId="380216B0" w:rsidR="00B041A4" w:rsidRDefault="00B041A4" w:rsidP="00DB03F0">
      <w:pPr>
        <w:numPr>
          <w:ilvl w:val="0"/>
          <w:numId w:val="4"/>
        </w:numPr>
        <w:overflowPunct w:val="0"/>
        <w:adjustRightInd w:val="0"/>
        <w:spacing w:after="0"/>
      </w:pPr>
      <w:r w:rsidRPr="00664AC4">
        <w:t xml:space="preserve">Continue to develop effective advising practices as evidenced </w:t>
      </w:r>
      <w:r w:rsidR="000C33F6" w:rsidRPr="00664AC4">
        <w:t>by</w:t>
      </w:r>
      <w:r w:rsidRPr="00664AC4">
        <w:t xml:space="preserve"> demonstrated</w:t>
      </w:r>
      <w:r w:rsidRPr="00664AC4">
        <w:rPr>
          <w:i/>
        </w:rPr>
        <w:t xml:space="preserve"> </w:t>
      </w:r>
      <w:r w:rsidRPr="00664AC4">
        <w:t xml:space="preserve">knowledge of both ISP and major program requirements (ex. student’s advising folder), </w:t>
      </w:r>
      <w:r w:rsidR="00DB03F0">
        <w:t>w</w:t>
      </w:r>
      <w:r w:rsidRPr="00664AC4">
        <w:t>orking with students during pre-admission, pre-registration, mentoring students’ professional development.</w:t>
      </w:r>
    </w:p>
    <w:p w14:paraId="473DBDF5" w14:textId="77777777" w:rsidR="00DB03F0" w:rsidRDefault="00DB03F0" w:rsidP="00A61005">
      <w:pPr>
        <w:overflowPunct w:val="0"/>
        <w:adjustRightInd w:val="0"/>
        <w:ind w:left="270"/>
        <w:rPr>
          <w:b/>
        </w:rPr>
      </w:pPr>
    </w:p>
    <w:p w14:paraId="7BB8BEE1" w14:textId="511FAD07" w:rsidR="00B041A4" w:rsidRDefault="00B041A4" w:rsidP="00A61005">
      <w:pPr>
        <w:overflowPunct w:val="0"/>
        <w:adjustRightInd w:val="0"/>
        <w:ind w:left="270"/>
        <w:rPr>
          <w:b/>
        </w:rPr>
      </w:pPr>
      <w:r w:rsidRPr="00B041A4">
        <w:rPr>
          <w:b/>
        </w:rPr>
        <w:t>Teaching</w:t>
      </w:r>
      <w:r>
        <w:rPr>
          <w:b/>
        </w:rPr>
        <w:t>:</w:t>
      </w:r>
    </w:p>
    <w:p w14:paraId="34A6984C" w14:textId="0629B667" w:rsidR="00C73BA5" w:rsidRPr="00E1531E" w:rsidRDefault="00B041A4" w:rsidP="00C73BA5">
      <w:pPr>
        <w:numPr>
          <w:ilvl w:val="0"/>
          <w:numId w:val="5"/>
        </w:numPr>
        <w:overflowPunct w:val="0"/>
        <w:adjustRightInd w:val="0"/>
        <w:ind w:left="630"/>
      </w:pPr>
      <w:r>
        <w:t>D</w:t>
      </w:r>
      <w:r w:rsidRPr="00664AC4">
        <w:t>evelop</w:t>
      </w:r>
      <w:r>
        <w:t>s</w:t>
      </w:r>
      <w:r w:rsidRPr="00664AC4">
        <w:t xml:space="preserve"> effective teaching practices, as evidenced by: </w:t>
      </w:r>
      <w:r>
        <w:t xml:space="preserve">students meeting or exceeding course learning outcomes, </w:t>
      </w:r>
      <w:r w:rsidRPr="00664AC4">
        <w:t xml:space="preserve">clear course syllabi, consistent with College requirements (including specific objectives, and assessment procedures, schedules of assignments), responsiveness to student evaluations </w:t>
      </w:r>
      <w:r w:rsidR="000C33F6" w:rsidRPr="00664AC4">
        <w:t>to</w:t>
      </w:r>
      <w:r w:rsidRPr="00664AC4">
        <w:t xml:space="preserve"> improve teaching, responsiveness to peer observations </w:t>
      </w:r>
      <w:r w:rsidR="000C33F6" w:rsidRPr="00664AC4">
        <w:t>to</w:t>
      </w:r>
      <w:r w:rsidRPr="00664AC4">
        <w:t xml:space="preserve"> improve teaching.</w:t>
      </w:r>
    </w:p>
    <w:p w14:paraId="762D7C0A" w14:textId="437F1F44" w:rsidR="00C73BA5" w:rsidRDefault="00C73BA5" w:rsidP="00E1531E">
      <w:pPr>
        <w:pStyle w:val="BodyText"/>
        <w:ind w:firstLine="270"/>
        <w:rPr>
          <w:b/>
          <w:szCs w:val="24"/>
        </w:rPr>
      </w:pPr>
      <w:r w:rsidRPr="00664AC4">
        <w:rPr>
          <w:b/>
          <w:szCs w:val="24"/>
        </w:rPr>
        <w:t>Service</w:t>
      </w:r>
      <w:r w:rsidR="00E1531E">
        <w:rPr>
          <w:b/>
          <w:szCs w:val="24"/>
        </w:rPr>
        <w:t>:</w:t>
      </w:r>
    </w:p>
    <w:p w14:paraId="49FC8311" w14:textId="77777777" w:rsidR="00B041A4" w:rsidRDefault="00B041A4" w:rsidP="00C73BA5">
      <w:pPr>
        <w:pStyle w:val="BodyText"/>
        <w:rPr>
          <w:b/>
          <w:szCs w:val="24"/>
        </w:rPr>
      </w:pPr>
    </w:p>
    <w:p w14:paraId="7CDCB06D" w14:textId="20A1F406" w:rsidR="00B041A4" w:rsidRPr="00E1531E" w:rsidRDefault="00B041A4" w:rsidP="00E1531E">
      <w:pPr>
        <w:pStyle w:val="BodyText"/>
        <w:numPr>
          <w:ilvl w:val="0"/>
          <w:numId w:val="5"/>
        </w:numPr>
        <w:ind w:left="630"/>
        <w:rPr>
          <w:szCs w:val="24"/>
        </w:rPr>
      </w:pPr>
      <w:r w:rsidRPr="00664AC4">
        <w:rPr>
          <w:szCs w:val="24"/>
        </w:rPr>
        <w:t xml:space="preserve">Extensive service to the College and students is not expected of first-year faculty members. </w:t>
      </w:r>
    </w:p>
    <w:p w14:paraId="396952FD" w14:textId="77777777" w:rsidR="00B041A4" w:rsidRDefault="00B041A4" w:rsidP="00E1531E">
      <w:pPr>
        <w:pStyle w:val="BodyText"/>
        <w:numPr>
          <w:ilvl w:val="0"/>
          <w:numId w:val="5"/>
        </w:numPr>
        <w:ind w:left="630"/>
        <w:rPr>
          <w:b/>
          <w:szCs w:val="24"/>
        </w:rPr>
      </w:pPr>
      <w:r w:rsidRPr="00664AC4">
        <w:rPr>
          <w:szCs w:val="24"/>
        </w:rPr>
        <w:t>As one’s tenure at the College progresses, the faculty member should begin to explore ways to serve the department, School, College, and students.  The intention is to become progressively more involved in the KSC and larger community.</w:t>
      </w:r>
    </w:p>
    <w:p w14:paraId="18A18476" w14:textId="77777777" w:rsidR="00C73BA5" w:rsidRDefault="00C73BA5" w:rsidP="00C73BA5">
      <w:pPr>
        <w:pStyle w:val="BodyText"/>
        <w:rPr>
          <w:b/>
          <w:szCs w:val="24"/>
        </w:rPr>
      </w:pPr>
    </w:p>
    <w:p w14:paraId="07636076" w14:textId="17708F82" w:rsidR="00C73BA5" w:rsidRDefault="00C73BA5" w:rsidP="00E1531E">
      <w:pPr>
        <w:pStyle w:val="BodyText"/>
        <w:ind w:firstLine="270"/>
        <w:rPr>
          <w:b/>
          <w:szCs w:val="24"/>
        </w:rPr>
      </w:pPr>
      <w:r w:rsidRPr="00664AC4">
        <w:rPr>
          <w:b/>
          <w:szCs w:val="24"/>
        </w:rPr>
        <w:t>Scholarship &amp; Related Professional Activity</w:t>
      </w:r>
      <w:r w:rsidR="00E1531E">
        <w:rPr>
          <w:b/>
          <w:szCs w:val="24"/>
        </w:rPr>
        <w:t>:</w:t>
      </w:r>
    </w:p>
    <w:p w14:paraId="0A784E2F" w14:textId="77777777" w:rsidR="00B041A4" w:rsidRDefault="00B041A4" w:rsidP="00C73BA5">
      <w:pPr>
        <w:pStyle w:val="BodyText"/>
        <w:rPr>
          <w:b/>
          <w:szCs w:val="24"/>
        </w:rPr>
      </w:pPr>
    </w:p>
    <w:p w14:paraId="1E58F6B2" w14:textId="563A3FF6" w:rsidR="00B041A4" w:rsidRPr="000C33F6" w:rsidRDefault="00B041A4" w:rsidP="000C33F6">
      <w:pPr>
        <w:pStyle w:val="BodyText"/>
        <w:numPr>
          <w:ilvl w:val="0"/>
          <w:numId w:val="9"/>
        </w:numPr>
        <w:ind w:left="630"/>
        <w:rPr>
          <w:szCs w:val="24"/>
        </w:rPr>
      </w:pPr>
      <w:r w:rsidRPr="000C33F6">
        <w:rPr>
          <w:szCs w:val="24"/>
        </w:rPr>
        <w:t xml:space="preserve">New faculty should continue to work on scholarship in progress at the time of hire (or begin new </w:t>
      </w:r>
      <w:r w:rsidR="00DB03F0" w:rsidRPr="000C33F6">
        <w:rPr>
          <w:szCs w:val="24"/>
        </w:rPr>
        <w:t>projects and</w:t>
      </w:r>
      <w:r w:rsidRPr="000C33F6">
        <w:rPr>
          <w:szCs w:val="24"/>
        </w:rPr>
        <w:t xml:space="preserve"> be able to demonstrate on-going involvement in the professional and scholarly initiatives</w:t>
      </w:r>
      <w:r w:rsidR="000C33F6" w:rsidRPr="000C33F6">
        <w:rPr>
          <w:szCs w:val="24"/>
        </w:rPr>
        <w:t xml:space="preserve">. </w:t>
      </w:r>
    </w:p>
    <w:p w14:paraId="55FCC75B" w14:textId="77777777" w:rsidR="00B041A4" w:rsidRDefault="00B041A4" w:rsidP="000C33F6">
      <w:pPr>
        <w:pStyle w:val="BodyText"/>
        <w:numPr>
          <w:ilvl w:val="0"/>
          <w:numId w:val="9"/>
        </w:numPr>
        <w:ind w:left="630"/>
        <w:rPr>
          <w:i/>
          <w:szCs w:val="24"/>
        </w:rPr>
      </w:pPr>
      <w:r w:rsidRPr="00664AC4">
        <w:rPr>
          <w:szCs w:val="24"/>
        </w:rPr>
        <w:t>Begin to establish a record of scholarship and related professional activity.</w:t>
      </w:r>
    </w:p>
    <w:p w14:paraId="5D78CCD7" w14:textId="77777777" w:rsidR="00C73BA5" w:rsidRPr="00664AC4" w:rsidRDefault="00C73BA5" w:rsidP="00C73BA5">
      <w:pPr>
        <w:pStyle w:val="BodyText"/>
        <w:rPr>
          <w:b/>
          <w:szCs w:val="24"/>
        </w:rPr>
      </w:pPr>
    </w:p>
    <w:p w14:paraId="75F47685" w14:textId="4A51D092" w:rsidR="00B041A4" w:rsidRPr="000C33F6" w:rsidRDefault="00B041A4" w:rsidP="00B041A4">
      <w:pPr>
        <w:pStyle w:val="BodyText"/>
        <w:rPr>
          <w:b/>
          <w:szCs w:val="24"/>
        </w:rPr>
      </w:pPr>
      <w:r w:rsidRPr="00664AC4">
        <w:rPr>
          <w:b/>
          <w:szCs w:val="24"/>
        </w:rPr>
        <w:t>Ass</w:t>
      </w:r>
      <w:r>
        <w:rPr>
          <w:b/>
          <w:szCs w:val="24"/>
        </w:rPr>
        <w:t xml:space="preserve">ociate </w:t>
      </w:r>
      <w:r w:rsidRPr="00664AC4">
        <w:rPr>
          <w:b/>
          <w:szCs w:val="24"/>
        </w:rPr>
        <w:t>Professor</w:t>
      </w:r>
      <w:r w:rsidR="000C33F6">
        <w:rPr>
          <w:b/>
          <w:szCs w:val="24"/>
        </w:rPr>
        <w:t xml:space="preserve">.  </w:t>
      </w:r>
    </w:p>
    <w:p w14:paraId="6F7FC72A" w14:textId="77777777" w:rsidR="000C33F6" w:rsidRPr="000C33F6" w:rsidRDefault="000C33F6" w:rsidP="00B041A4">
      <w:pPr>
        <w:pStyle w:val="BodyText"/>
        <w:rPr>
          <w:i/>
          <w:szCs w:val="24"/>
        </w:rPr>
      </w:pPr>
    </w:p>
    <w:p w14:paraId="3E73B1FF" w14:textId="77777777" w:rsidR="00B041A4" w:rsidRDefault="00B041A4" w:rsidP="000C33F6">
      <w:pPr>
        <w:overflowPunct w:val="0"/>
        <w:adjustRightInd w:val="0"/>
        <w:spacing w:after="0"/>
        <w:ind w:left="180"/>
        <w:rPr>
          <w:b/>
        </w:rPr>
      </w:pPr>
      <w:r>
        <w:rPr>
          <w:b/>
        </w:rPr>
        <w:t xml:space="preserve">Advising: </w:t>
      </w:r>
    </w:p>
    <w:p w14:paraId="1953976F" w14:textId="77777777" w:rsidR="000C33F6" w:rsidRDefault="000C33F6" w:rsidP="000C33F6">
      <w:pPr>
        <w:overflowPunct w:val="0"/>
        <w:adjustRightInd w:val="0"/>
        <w:spacing w:after="0"/>
        <w:ind w:left="180"/>
        <w:rPr>
          <w:b/>
        </w:rPr>
      </w:pPr>
    </w:p>
    <w:p w14:paraId="778049D7" w14:textId="77777777" w:rsidR="00B041A4" w:rsidRDefault="00B041A4" w:rsidP="000C33F6">
      <w:pPr>
        <w:numPr>
          <w:ilvl w:val="0"/>
          <w:numId w:val="4"/>
        </w:numPr>
        <w:overflowPunct w:val="0"/>
        <w:adjustRightInd w:val="0"/>
        <w:spacing w:after="0"/>
      </w:pPr>
      <w:r w:rsidRPr="00664AC4">
        <w:t>First-year faculty are not expected to provide direct advising to students.</w:t>
      </w:r>
    </w:p>
    <w:p w14:paraId="0F9DC4E1" w14:textId="2D09CF2E" w:rsidR="00B041A4" w:rsidRDefault="00B041A4" w:rsidP="000C33F6">
      <w:pPr>
        <w:numPr>
          <w:ilvl w:val="0"/>
          <w:numId w:val="4"/>
        </w:numPr>
        <w:overflowPunct w:val="0"/>
        <w:adjustRightInd w:val="0"/>
        <w:spacing w:after="0"/>
      </w:pPr>
      <w:r w:rsidRPr="00664AC4">
        <w:t xml:space="preserve">Continue to develop effective advising practices as evidenced </w:t>
      </w:r>
      <w:r w:rsidR="000C33F6" w:rsidRPr="00664AC4">
        <w:t>by</w:t>
      </w:r>
      <w:r w:rsidRPr="00664AC4">
        <w:t xml:space="preserve"> demonstrated</w:t>
      </w:r>
      <w:r w:rsidRPr="00664AC4">
        <w:rPr>
          <w:i/>
        </w:rPr>
        <w:t xml:space="preserve"> </w:t>
      </w:r>
      <w:r w:rsidRPr="00664AC4">
        <w:t>knowledge of both ISP and major program requirements (ex. student’s advising folder), working with students during pre-admission, pre-registration, mentoring students’ professional development.</w:t>
      </w:r>
    </w:p>
    <w:p w14:paraId="1303A956" w14:textId="77777777" w:rsidR="000C33F6" w:rsidRDefault="000C33F6" w:rsidP="000C33F6">
      <w:pPr>
        <w:overflowPunct w:val="0"/>
        <w:adjustRightInd w:val="0"/>
        <w:spacing w:after="0"/>
      </w:pPr>
    </w:p>
    <w:p w14:paraId="582A49DB" w14:textId="77777777" w:rsidR="00B041A4" w:rsidRDefault="00B041A4" w:rsidP="00090C6D">
      <w:pPr>
        <w:overflowPunct w:val="0"/>
        <w:adjustRightInd w:val="0"/>
        <w:ind w:left="180"/>
        <w:rPr>
          <w:b/>
        </w:rPr>
      </w:pPr>
      <w:r w:rsidRPr="00B041A4">
        <w:rPr>
          <w:b/>
        </w:rPr>
        <w:t>Teaching</w:t>
      </w:r>
      <w:r>
        <w:rPr>
          <w:b/>
        </w:rPr>
        <w:t>:</w:t>
      </w:r>
    </w:p>
    <w:p w14:paraId="3991A958" w14:textId="77777777" w:rsidR="000C33F6" w:rsidRDefault="00090C6D" w:rsidP="000C33F6">
      <w:pPr>
        <w:numPr>
          <w:ilvl w:val="0"/>
          <w:numId w:val="5"/>
        </w:numPr>
        <w:overflowPunct w:val="0"/>
        <w:adjustRightInd w:val="0"/>
        <w:spacing w:after="0"/>
        <w:ind w:left="630"/>
      </w:pPr>
      <w:r>
        <w:t xml:space="preserve">Portfolio illustrates use of assessment data </w:t>
      </w:r>
      <w:r w:rsidR="0060282B">
        <w:t xml:space="preserve">for improvement </w:t>
      </w:r>
      <w:r>
        <w:t xml:space="preserve">such </w:t>
      </w:r>
      <w:r w:rsidR="000C33F6">
        <w:t>as</w:t>
      </w:r>
      <w:r>
        <w:t xml:space="preserve"> </w:t>
      </w:r>
      <w:r w:rsidRPr="00664AC4">
        <w:t>peer observatio</w:t>
      </w:r>
      <w:r>
        <w:t xml:space="preserve">ns, teaching techniques such as those provided by </w:t>
      </w:r>
      <w:r w:rsidR="00BC7924" w:rsidRPr="000C33F6">
        <w:rPr>
          <w:rFonts w:eastAsia="Times New Roman"/>
          <w:lang w:eastAsia="ja-JP"/>
        </w:rPr>
        <w:t>Learning, Teaching, &amp; Scholarship Collaborative</w:t>
      </w:r>
      <w:r>
        <w:t xml:space="preserve">, </w:t>
      </w:r>
      <w:r w:rsidRPr="00664AC4">
        <w:t>student evaluations</w:t>
      </w:r>
      <w:r>
        <w:t>, stakeholder feedback (alumni, employers, advisory boards)</w:t>
      </w:r>
      <w:r w:rsidRPr="00664AC4">
        <w:t xml:space="preserve"> </w:t>
      </w:r>
      <w:r>
        <w:t>that have</w:t>
      </w:r>
      <w:r w:rsidRPr="00664AC4">
        <w:t xml:space="preserve"> improve</w:t>
      </w:r>
      <w:r>
        <w:t>d student learning outcomes</w:t>
      </w:r>
      <w:r w:rsidRPr="00664AC4">
        <w:t xml:space="preserve"> teaching</w:t>
      </w:r>
      <w:r>
        <w:t>.</w:t>
      </w:r>
    </w:p>
    <w:p w14:paraId="2E1B9D77" w14:textId="7D5B7B2F" w:rsidR="00B041A4" w:rsidRPr="00090C6D" w:rsidRDefault="00090C6D" w:rsidP="000C33F6">
      <w:pPr>
        <w:numPr>
          <w:ilvl w:val="0"/>
          <w:numId w:val="5"/>
        </w:numPr>
        <w:overflowPunct w:val="0"/>
        <w:adjustRightInd w:val="0"/>
        <w:spacing w:after="0"/>
        <w:ind w:left="630"/>
      </w:pPr>
      <w:r>
        <w:t>Portfolio illustrates</w:t>
      </w:r>
      <w:r w:rsidR="00B041A4" w:rsidRPr="00664AC4">
        <w:t xml:space="preserve"> </w:t>
      </w:r>
      <w:r>
        <w:t>use</w:t>
      </w:r>
      <w:r w:rsidR="00B041A4" w:rsidRPr="00664AC4">
        <w:t xml:space="preserve"> new pedagogy, program </w:t>
      </w:r>
      <w:r w:rsidR="00D3720F">
        <w:t>revisions</w:t>
      </w:r>
      <w:r w:rsidR="00B041A4" w:rsidRPr="00664AC4">
        <w:t xml:space="preserve">, and scholarly interests </w:t>
      </w:r>
      <w:r w:rsidR="00E1531E" w:rsidRPr="00664AC4">
        <w:t>to</w:t>
      </w:r>
      <w:r w:rsidR="00B041A4" w:rsidRPr="00664AC4">
        <w:t xml:space="preserve"> revise courses and curriculum.</w:t>
      </w:r>
    </w:p>
    <w:p w14:paraId="787F11F6" w14:textId="77777777" w:rsidR="000C33F6" w:rsidRDefault="000C33F6" w:rsidP="00E1531E">
      <w:pPr>
        <w:pStyle w:val="BodyText"/>
        <w:ind w:firstLine="180"/>
        <w:rPr>
          <w:b/>
          <w:szCs w:val="24"/>
        </w:rPr>
      </w:pPr>
    </w:p>
    <w:p w14:paraId="2D3F7C71" w14:textId="77777777" w:rsidR="00DB03F0" w:rsidRDefault="00DB03F0" w:rsidP="00E1531E">
      <w:pPr>
        <w:pStyle w:val="BodyText"/>
        <w:ind w:firstLine="180"/>
        <w:rPr>
          <w:b/>
          <w:szCs w:val="24"/>
        </w:rPr>
      </w:pPr>
    </w:p>
    <w:p w14:paraId="47B39BEB" w14:textId="77777777" w:rsidR="00DB03F0" w:rsidRDefault="00DB03F0" w:rsidP="00E1531E">
      <w:pPr>
        <w:pStyle w:val="BodyText"/>
        <w:ind w:firstLine="180"/>
        <w:rPr>
          <w:b/>
          <w:szCs w:val="24"/>
        </w:rPr>
      </w:pPr>
    </w:p>
    <w:p w14:paraId="7474A0B0" w14:textId="7795C500" w:rsidR="00B041A4" w:rsidRDefault="00B041A4" w:rsidP="00E1531E">
      <w:pPr>
        <w:pStyle w:val="BodyText"/>
        <w:ind w:firstLine="180"/>
        <w:rPr>
          <w:b/>
          <w:szCs w:val="24"/>
        </w:rPr>
      </w:pPr>
      <w:r w:rsidRPr="00664AC4">
        <w:rPr>
          <w:b/>
          <w:szCs w:val="24"/>
        </w:rPr>
        <w:t>Service</w:t>
      </w:r>
      <w:r w:rsidR="00E1531E">
        <w:rPr>
          <w:b/>
          <w:szCs w:val="24"/>
        </w:rPr>
        <w:t>:</w:t>
      </w:r>
    </w:p>
    <w:p w14:paraId="22E44A3F" w14:textId="77777777" w:rsidR="00E1531E" w:rsidRDefault="00E1531E" w:rsidP="00E1531E">
      <w:pPr>
        <w:pStyle w:val="BodyText"/>
        <w:ind w:firstLine="180"/>
        <w:rPr>
          <w:b/>
          <w:szCs w:val="24"/>
        </w:rPr>
      </w:pPr>
    </w:p>
    <w:p w14:paraId="39458490" w14:textId="0DD432D3" w:rsidR="00090C6D" w:rsidRDefault="00A61005" w:rsidP="00E1531E">
      <w:pPr>
        <w:pStyle w:val="BodyText"/>
        <w:numPr>
          <w:ilvl w:val="0"/>
          <w:numId w:val="7"/>
        </w:numPr>
        <w:ind w:left="630"/>
        <w:rPr>
          <w:szCs w:val="24"/>
        </w:rPr>
      </w:pPr>
      <w:r>
        <w:rPr>
          <w:szCs w:val="24"/>
        </w:rPr>
        <w:t>While e</w:t>
      </w:r>
      <w:r w:rsidRPr="00664AC4">
        <w:rPr>
          <w:szCs w:val="24"/>
        </w:rPr>
        <w:t xml:space="preserve">xtensive </w:t>
      </w:r>
      <w:r w:rsidR="0060282B">
        <w:rPr>
          <w:szCs w:val="24"/>
        </w:rPr>
        <w:t>service</w:t>
      </w:r>
      <w:r w:rsidRPr="00664AC4">
        <w:rPr>
          <w:szCs w:val="24"/>
        </w:rPr>
        <w:t xml:space="preserve"> is not expected</w:t>
      </w:r>
      <w:r w:rsidR="0060282B">
        <w:rPr>
          <w:szCs w:val="24"/>
        </w:rPr>
        <w:t xml:space="preserve"> of first-year faculty members, t</w:t>
      </w:r>
      <w:r>
        <w:rPr>
          <w:szCs w:val="24"/>
        </w:rPr>
        <w:t xml:space="preserve">he portfolio should now provide examples of consistent and engaged service. In general, two types of service are expected, </w:t>
      </w:r>
      <w:r w:rsidR="0060282B">
        <w:rPr>
          <w:szCs w:val="24"/>
        </w:rPr>
        <w:t xml:space="preserve">per year, supporting combinations of the department, </w:t>
      </w:r>
      <w:r w:rsidR="000C33F6">
        <w:rPr>
          <w:szCs w:val="24"/>
        </w:rPr>
        <w:t>division,</w:t>
      </w:r>
      <w:r w:rsidR="0060282B">
        <w:rPr>
          <w:szCs w:val="24"/>
        </w:rPr>
        <w:t xml:space="preserve"> or college.</w:t>
      </w:r>
    </w:p>
    <w:p w14:paraId="561CE46E" w14:textId="77777777" w:rsidR="00B041A4" w:rsidRDefault="00B041A4" w:rsidP="00B041A4">
      <w:pPr>
        <w:pStyle w:val="BodyText"/>
        <w:rPr>
          <w:b/>
          <w:szCs w:val="24"/>
        </w:rPr>
      </w:pPr>
    </w:p>
    <w:p w14:paraId="2D742C0D" w14:textId="2D1C2B9C" w:rsidR="00B041A4" w:rsidRDefault="00B041A4" w:rsidP="00E1531E">
      <w:pPr>
        <w:pStyle w:val="BodyText"/>
        <w:ind w:firstLine="180"/>
        <w:rPr>
          <w:b/>
          <w:szCs w:val="24"/>
        </w:rPr>
      </w:pPr>
      <w:r w:rsidRPr="00664AC4">
        <w:rPr>
          <w:b/>
          <w:szCs w:val="24"/>
        </w:rPr>
        <w:t>Scholarship &amp; Related Professional Activity</w:t>
      </w:r>
      <w:r w:rsidR="00E1531E">
        <w:rPr>
          <w:b/>
          <w:szCs w:val="24"/>
        </w:rPr>
        <w:t>:</w:t>
      </w:r>
    </w:p>
    <w:p w14:paraId="5CCAAB43" w14:textId="77777777" w:rsidR="00B041A4" w:rsidRDefault="00B041A4" w:rsidP="00B041A4">
      <w:pPr>
        <w:pStyle w:val="BodyText"/>
        <w:rPr>
          <w:b/>
          <w:szCs w:val="24"/>
        </w:rPr>
      </w:pPr>
    </w:p>
    <w:p w14:paraId="6D029AAF" w14:textId="05FE3B09" w:rsidR="00B041A4" w:rsidRPr="00DB03F0" w:rsidRDefault="00B041A4" w:rsidP="00DB03F0">
      <w:pPr>
        <w:pStyle w:val="BodyText"/>
        <w:numPr>
          <w:ilvl w:val="0"/>
          <w:numId w:val="7"/>
        </w:numPr>
        <w:ind w:left="630"/>
        <w:rPr>
          <w:szCs w:val="24"/>
        </w:rPr>
      </w:pPr>
      <w:r w:rsidRPr="00DB03F0">
        <w:rPr>
          <w:szCs w:val="24"/>
        </w:rPr>
        <w:t xml:space="preserve">New faculty should continue to work on scholarship in progress at the time of hire (or begin new </w:t>
      </w:r>
      <w:r w:rsidR="000C33F6" w:rsidRPr="00DB03F0">
        <w:rPr>
          <w:szCs w:val="24"/>
        </w:rPr>
        <w:t>projects and</w:t>
      </w:r>
      <w:r w:rsidRPr="00DB03F0">
        <w:rPr>
          <w:szCs w:val="24"/>
        </w:rPr>
        <w:t xml:space="preserve"> be able to demonstrate on-going involvement in the professional and scholarly initiatives</w:t>
      </w:r>
      <w:r w:rsidR="00E1531E" w:rsidRPr="00DB03F0">
        <w:rPr>
          <w:szCs w:val="24"/>
        </w:rPr>
        <w:t>.</w:t>
      </w:r>
    </w:p>
    <w:p w14:paraId="17F52722" w14:textId="77777777" w:rsidR="00B041A4" w:rsidRDefault="00B041A4" w:rsidP="00E1531E">
      <w:pPr>
        <w:pStyle w:val="BodyText"/>
        <w:numPr>
          <w:ilvl w:val="0"/>
          <w:numId w:val="7"/>
        </w:numPr>
        <w:ind w:left="630"/>
        <w:rPr>
          <w:i/>
          <w:szCs w:val="24"/>
        </w:rPr>
      </w:pPr>
      <w:r w:rsidRPr="00664AC4">
        <w:rPr>
          <w:szCs w:val="24"/>
        </w:rPr>
        <w:t>Begin to establish a record of scholarship and related professional activity.</w:t>
      </w:r>
    </w:p>
    <w:p w14:paraId="32EB0B0F" w14:textId="77777777" w:rsidR="00B041A4" w:rsidRPr="00664AC4" w:rsidRDefault="00B041A4" w:rsidP="00B041A4">
      <w:pPr>
        <w:pStyle w:val="BodyText"/>
        <w:rPr>
          <w:b/>
          <w:szCs w:val="24"/>
        </w:rPr>
      </w:pPr>
    </w:p>
    <w:p w14:paraId="40D24490" w14:textId="7E642605" w:rsidR="00B041A4" w:rsidRDefault="0060282B" w:rsidP="00B041A4">
      <w:pPr>
        <w:pStyle w:val="BodyText"/>
        <w:rPr>
          <w:b/>
          <w:szCs w:val="24"/>
        </w:rPr>
      </w:pPr>
      <w:r>
        <w:rPr>
          <w:b/>
          <w:szCs w:val="24"/>
        </w:rPr>
        <w:t>Full</w:t>
      </w:r>
      <w:r w:rsidR="00B041A4" w:rsidRPr="00664AC4">
        <w:rPr>
          <w:b/>
          <w:szCs w:val="24"/>
        </w:rPr>
        <w:t xml:space="preserve"> Professor</w:t>
      </w:r>
      <w:r w:rsidR="000C33F6">
        <w:rPr>
          <w:b/>
          <w:szCs w:val="24"/>
        </w:rPr>
        <w:t xml:space="preserve">.  </w:t>
      </w:r>
    </w:p>
    <w:p w14:paraId="7EE8F6D2" w14:textId="77777777" w:rsidR="000C33F6" w:rsidRDefault="000C33F6" w:rsidP="00B041A4">
      <w:pPr>
        <w:pStyle w:val="BodyText"/>
        <w:rPr>
          <w:i/>
          <w:szCs w:val="24"/>
        </w:rPr>
      </w:pPr>
    </w:p>
    <w:p w14:paraId="0CA45CDC" w14:textId="77777777" w:rsidR="00B041A4" w:rsidRDefault="00B041A4" w:rsidP="0060282B">
      <w:pPr>
        <w:overflowPunct w:val="0"/>
        <w:adjustRightInd w:val="0"/>
        <w:ind w:left="180"/>
        <w:rPr>
          <w:b/>
        </w:rPr>
      </w:pPr>
      <w:r>
        <w:rPr>
          <w:b/>
        </w:rPr>
        <w:t xml:space="preserve">Advising: </w:t>
      </w:r>
    </w:p>
    <w:p w14:paraId="188B1168" w14:textId="6E6F6210" w:rsidR="0060282B" w:rsidRPr="00664AC4" w:rsidRDefault="0060282B" w:rsidP="0060282B">
      <w:pPr>
        <w:numPr>
          <w:ilvl w:val="0"/>
          <w:numId w:val="4"/>
        </w:numPr>
        <w:overflowPunct w:val="0"/>
        <w:adjustRightInd w:val="0"/>
      </w:pPr>
      <w:r w:rsidRPr="00664AC4">
        <w:t xml:space="preserve">Strong and consistent record of effective advising practices as evidenced </w:t>
      </w:r>
      <w:r w:rsidR="000C33F6" w:rsidRPr="00664AC4">
        <w:t>by</w:t>
      </w:r>
      <w:r w:rsidRPr="00664AC4">
        <w:t xml:space="preserve"> demonstrated</w:t>
      </w:r>
      <w:r w:rsidRPr="00664AC4">
        <w:rPr>
          <w:b/>
          <w:i/>
        </w:rPr>
        <w:t xml:space="preserve"> </w:t>
      </w:r>
      <w:r w:rsidRPr="00664AC4">
        <w:t>knowledge of both ISP and major program requirements (ex. student’s advising folder), working with students during pre-admission, pre-registration, mentoring students’ professional development.</w:t>
      </w:r>
    </w:p>
    <w:p w14:paraId="2A278013" w14:textId="77777777" w:rsidR="00B041A4" w:rsidRDefault="00B041A4" w:rsidP="0060282B">
      <w:pPr>
        <w:overflowPunct w:val="0"/>
        <w:adjustRightInd w:val="0"/>
        <w:ind w:left="180"/>
        <w:rPr>
          <w:b/>
        </w:rPr>
      </w:pPr>
      <w:r w:rsidRPr="00B041A4">
        <w:rPr>
          <w:b/>
        </w:rPr>
        <w:t>Teaching</w:t>
      </w:r>
      <w:r>
        <w:rPr>
          <w:b/>
        </w:rPr>
        <w:t>:</w:t>
      </w:r>
    </w:p>
    <w:p w14:paraId="486922B5" w14:textId="77777777" w:rsidR="0060282B" w:rsidRDefault="0060282B" w:rsidP="000C33F6">
      <w:pPr>
        <w:numPr>
          <w:ilvl w:val="0"/>
          <w:numId w:val="6"/>
        </w:numPr>
        <w:overflowPunct w:val="0"/>
        <w:adjustRightInd w:val="0"/>
        <w:spacing w:after="0"/>
      </w:pPr>
      <w:r w:rsidRPr="00664AC4">
        <w:t xml:space="preserve">Strong and consistent record of </w:t>
      </w:r>
      <w:r>
        <w:t>using assessment data for course and program enhanceme</w:t>
      </w:r>
      <w:r w:rsidR="00723FC2">
        <w:t xml:space="preserve">nts demonstrating improvements in student learning outcomes. </w:t>
      </w:r>
    </w:p>
    <w:p w14:paraId="04655060" w14:textId="77777777" w:rsidR="0060282B" w:rsidRDefault="00723FC2" w:rsidP="000C33F6">
      <w:pPr>
        <w:numPr>
          <w:ilvl w:val="0"/>
          <w:numId w:val="6"/>
        </w:numPr>
        <w:overflowPunct w:val="0"/>
        <w:adjustRightInd w:val="0"/>
        <w:spacing w:after="0"/>
      </w:pPr>
      <w:r>
        <w:t xml:space="preserve">Student learning outcomes reflect a well developed and practiced pedagogy. </w:t>
      </w:r>
    </w:p>
    <w:p w14:paraId="3DC92574" w14:textId="0B3272B7" w:rsidR="00B041A4" w:rsidRDefault="0060282B" w:rsidP="000C33F6">
      <w:pPr>
        <w:numPr>
          <w:ilvl w:val="0"/>
          <w:numId w:val="6"/>
        </w:numPr>
        <w:overflowPunct w:val="0"/>
        <w:adjustRightInd w:val="0"/>
        <w:spacing w:after="0"/>
      </w:pPr>
      <w:r w:rsidRPr="00664AC4">
        <w:t xml:space="preserve">Willingness to explore new pedagogy, program needs, and scholarly interests </w:t>
      </w:r>
      <w:r w:rsidR="000C33F6" w:rsidRPr="00664AC4">
        <w:t>to</w:t>
      </w:r>
      <w:r w:rsidRPr="00664AC4">
        <w:t xml:space="preserve"> revise courses and curriculum.</w:t>
      </w:r>
    </w:p>
    <w:p w14:paraId="68AE9DEB" w14:textId="319D5E4F" w:rsidR="009206AB" w:rsidRPr="0060282B" w:rsidRDefault="009206AB" w:rsidP="000C33F6">
      <w:pPr>
        <w:numPr>
          <w:ilvl w:val="0"/>
          <w:numId w:val="6"/>
        </w:numPr>
        <w:overflowPunct w:val="0"/>
        <w:adjustRightInd w:val="0"/>
        <w:spacing w:after="0"/>
      </w:pPr>
      <w:r>
        <w:t xml:space="preserve">Faculty member may engage in unique teaching opportunities such </w:t>
      </w:r>
      <w:r w:rsidR="000C33F6">
        <w:t>as</w:t>
      </w:r>
      <w:r>
        <w:t xml:space="preserve"> interdisciplinary team teaching, study abroad teachin</w:t>
      </w:r>
      <w:r w:rsidR="000C33F6">
        <w:t>g.</w:t>
      </w:r>
    </w:p>
    <w:p w14:paraId="7BA4A8B3" w14:textId="77777777" w:rsidR="000C33F6" w:rsidRDefault="000C33F6" w:rsidP="000C33F6">
      <w:pPr>
        <w:pStyle w:val="BodyText"/>
        <w:ind w:firstLine="180"/>
        <w:rPr>
          <w:b/>
          <w:szCs w:val="24"/>
        </w:rPr>
      </w:pPr>
    </w:p>
    <w:p w14:paraId="0DED24DA" w14:textId="3DE0FF08" w:rsidR="00B041A4" w:rsidRDefault="00B041A4" w:rsidP="000C33F6">
      <w:pPr>
        <w:pStyle w:val="BodyText"/>
        <w:ind w:firstLine="180"/>
        <w:rPr>
          <w:b/>
          <w:szCs w:val="24"/>
        </w:rPr>
      </w:pPr>
      <w:r w:rsidRPr="00664AC4">
        <w:rPr>
          <w:b/>
          <w:szCs w:val="24"/>
        </w:rPr>
        <w:t>Service</w:t>
      </w:r>
      <w:r w:rsidR="000C33F6">
        <w:rPr>
          <w:b/>
          <w:szCs w:val="24"/>
        </w:rPr>
        <w:t>:</w:t>
      </w:r>
    </w:p>
    <w:p w14:paraId="5DAB88EC" w14:textId="77777777" w:rsidR="00B041A4" w:rsidRDefault="00B041A4" w:rsidP="00B041A4">
      <w:pPr>
        <w:pStyle w:val="BodyText"/>
        <w:rPr>
          <w:b/>
          <w:szCs w:val="24"/>
        </w:rPr>
      </w:pPr>
    </w:p>
    <w:p w14:paraId="18B0BBC0" w14:textId="77777777" w:rsidR="00B041A4" w:rsidRDefault="0060282B" w:rsidP="000C33F6">
      <w:pPr>
        <w:pStyle w:val="BodyText"/>
        <w:numPr>
          <w:ilvl w:val="0"/>
          <w:numId w:val="8"/>
        </w:numPr>
        <w:ind w:left="720"/>
        <w:rPr>
          <w:szCs w:val="24"/>
        </w:rPr>
      </w:pPr>
      <w:r w:rsidRPr="00664AC4">
        <w:rPr>
          <w:szCs w:val="24"/>
        </w:rPr>
        <w:t>Extensive and on-going record of substantial and meaningful service to the department, School, College, students, and the larger community.  This may include serving a leadership role in the above areas.</w:t>
      </w:r>
    </w:p>
    <w:p w14:paraId="4F1F6B72" w14:textId="77777777" w:rsidR="0060282B" w:rsidRDefault="0060282B" w:rsidP="00B041A4">
      <w:pPr>
        <w:pStyle w:val="BodyText"/>
        <w:rPr>
          <w:b/>
          <w:szCs w:val="24"/>
        </w:rPr>
      </w:pPr>
    </w:p>
    <w:p w14:paraId="0369E52F" w14:textId="6D1B8366" w:rsidR="00B041A4" w:rsidRDefault="00B041A4" w:rsidP="000C33F6">
      <w:pPr>
        <w:pStyle w:val="BodyText"/>
        <w:ind w:firstLine="180"/>
        <w:rPr>
          <w:b/>
          <w:szCs w:val="24"/>
        </w:rPr>
      </w:pPr>
      <w:r w:rsidRPr="00664AC4">
        <w:rPr>
          <w:b/>
          <w:szCs w:val="24"/>
        </w:rPr>
        <w:t>Scholarship &amp; Related Professional Activity</w:t>
      </w:r>
      <w:r w:rsidR="000C33F6">
        <w:rPr>
          <w:b/>
          <w:szCs w:val="24"/>
        </w:rPr>
        <w:t>:</w:t>
      </w:r>
    </w:p>
    <w:p w14:paraId="1089FDB7" w14:textId="77777777" w:rsidR="00B041A4" w:rsidRDefault="00B041A4" w:rsidP="00B041A4">
      <w:pPr>
        <w:pStyle w:val="BodyText"/>
        <w:rPr>
          <w:b/>
          <w:szCs w:val="24"/>
        </w:rPr>
      </w:pPr>
    </w:p>
    <w:p w14:paraId="0D2BE8EB" w14:textId="23875365" w:rsidR="004617CF" w:rsidRPr="00664AC4" w:rsidRDefault="0060282B" w:rsidP="00DB03F0">
      <w:pPr>
        <w:numPr>
          <w:ilvl w:val="0"/>
          <w:numId w:val="8"/>
        </w:numPr>
        <w:ind w:left="720"/>
      </w:pPr>
      <w:r w:rsidRPr="00664AC4">
        <w:t xml:space="preserve">Extensive record of scholarship and related professional activity, including work at the: highest professional level, national or international </w:t>
      </w:r>
      <w:r w:rsidR="000C33F6" w:rsidRPr="00664AC4">
        <w:t>level.</w:t>
      </w:r>
      <w:r w:rsidRPr="00664AC4">
        <w:t xml:space="preserve"> </w:t>
      </w:r>
    </w:p>
    <w:sectPr w:rsidR="004617CF" w:rsidRPr="00664AC4" w:rsidSect="00A4557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67FB0" w14:textId="77777777" w:rsidR="00D0037B" w:rsidRDefault="00D0037B">
      <w:pPr>
        <w:spacing w:after="0" w:line="240" w:lineRule="auto"/>
      </w:pPr>
      <w:r>
        <w:separator/>
      </w:r>
    </w:p>
  </w:endnote>
  <w:endnote w:type="continuationSeparator" w:id="0">
    <w:p w14:paraId="167C6814" w14:textId="77777777" w:rsidR="00D0037B" w:rsidRDefault="00D0037B">
      <w:pPr>
        <w:spacing w:after="0" w:line="240" w:lineRule="auto"/>
      </w:pPr>
      <w:r>
        <w:continuationSeparator/>
      </w:r>
    </w:p>
  </w:endnote>
  <w:endnote w:type="continuationNotice" w:id="1">
    <w:p w14:paraId="755B5C5C" w14:textId="77777777" w:rsidR="009D43D6" w:rsidRDefault="009D43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0BBEB" w14:textId="77777777" w:rsidR="00723FC2" w:rsidRDefault="00723FC2">
    <w:pPr>
      <w:pStyle w:val="Footer"/>
      <w:jc w:val="center"/>
    </w:pPr>
    <w:r>
      <w:fldChar w:fldCharType="begin"/>
    </w:r>
    <w:r>
      <w:instrText xml:space="preserve"> PAGE   \* MERGEFORMAT </w:instrText>
    </w:r>
    <w:r>
      <w:fldChar w:fldCharType="separate"/>
    </w:r>
    <w:r w:rsidR="0011237D">
      <w:rPr>
        <w:noProof/>
      </w:rPr>
      <w:t>1</w:t>
    </w:r>
    <w:r>
      <w:fldChar w:fldCharType="end"/>
    </w:r>
  </w:p>
  <w:p w14:paraId="34B5E4A3" w14:textId="77777777" w:rsidR="00723FC2" w:rsidRDefault="00723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F056F" w14:textId="77777777" w:rsidR="00D0037B" w:rsidRDefault="00D0037B">
      <w:pPr>
        <w:spacing w:after="0" w:line="240" w:lineRule="auto"/>
      </w:pPr>
      <w:r>
        <w:separator/>
      </w:r>
    </w:p>
  </w:footnote>
  <w:footnote w:type="continuationSeparator" w:id="0">
    <w:p w14:paraId="66A2E012" w14:textId="77777777" w:rsidR="00D0037B" w:rsidRDefault="00D0037B">
      <w:pPr>
        <w:spacing w:after="0" w:line="240" w:lineRule="auto"/>
      </w:pPr>
      <w:r>
        <w:continuationSeparator/>
      </w:r>
    </w:p>
  </w:footnote>
  <w:footnote w:type="continuationNotice" w:id="1">
    <w:p w14:paraId="769591AD" w14:textId="77777777" w:rsidR="009D43D6" w:rsidRDefault="009D43D6">
      <w:pPr>
        <w:spacing w:after="0" w:line="240" w:lineRule="auto"/>
      </w:pPr>
    </w:p>
  </w:footnote>
  <w:footnote w:id="2">
    <w:p w14:paraId="0D8A9CFF" w14:textId="77777777" w:rsidR="0025240A" w:rsidRPr="000C33F6" w:rsidRDefault="0025240A" w:rsidP="00854735">
      <w:pPr>
        <w:pStyle w:val="FootnoteText"/>
        <w:spacing w:line="240" w:lineRule="auto"/>
      </w:pPr>
      <w:r w:rsidRPr="000C33F6">
        <w:rPr>
          <w:rStyle w:val="FootnoteReference"/>
        </w:rPr>
        <w:footnoteRef/>
      </w:r>
      <w:r w:rsidRPr="000C33F6">
        <w:t xml:space="preserve"> </w:t>
      </w:r>
      <w:r w:rsidR="00854735" w:rsidRPr="000C33F6">
        <w:t xml:space="preserve">The </w:t>
      </w:r>
      <w:r w:rsidRPr="000C33F6">
        <w:rPr>
          <w:i/>
        </w:rPr>
        <w:t>KSC Faculty Handbook</w:t>
      </w:r>
      <w:r w:rsidRPr="000C33F6">
        <w:t xml:space="preserve"> </w:t>
      </w:r>
      <w:r w:rsidR="00854735" w:rsidRPr="000C33F6">
        <w:t>explains;</w:t>
      </w:r>
      <w:r w:rsidRPr="000C33F6">
        <w:t xml:space="preserve"> </w:t>
      </w:r>
      <w:r w:rsidR="00854735" w:rsidRPr="000C33F6">
        <w:t>faculty roles and responsibilities, standards of performance, FEAC (Faculty Evaluation Assessment Committee) guidelines, self-evaluation process, and provides guidance for promotion and tenure preparation and application</w:t>
      </w:r>
      <w:r w:rsidRPr="000C33F6">
        <w:t xml:space="preserve">.    </w:t>
      </w:r>
      <w:hyperlink r:id="rId1" w:history="1">
        <w:r w:rsidR="00BC7924" w:rsidRPr="000C33F6">
          <w:rPr>
            <w:rStyle w:val="Hyperlink"/>
          </w:rPr>
          <w:t>https://www.keene.edu/administration/policy/detail/faculty-handbook/download/</w:t>
        </w:r>
      </w:hyperlink>
    </w:p>
  </w:footnote>
  <w:footnote w:id="3">
    <w:p w14:paraId="19B5A16E" w14:textId="77777777" w:rsidR="00456FDF" w:rsidRPr="000C33F6" w:rsidRDefault="00456FDF">
      <w:pPr>
        <w:pStyle w:val="FootnoteText"/>
        <w:rPr>
          <w:u w:val="single"/>
        </w:rPr>
      </w:pPr>
      <w:r w:rsidRPr="000C33F6">
        <w:rPr>
          <w:rStyle w:val="FootnoteReference"/>
        </w:rPr>
        <w:footnoteRef/>
      </w:r>
      <w:r w:rsidRPr="000C33F6">
        <w:t xml:space="preserve"> Learning, Teaching, &amp; Scholarship Collaborative at </w:t>
      </w:r>
      <w:hyperlink r:id="rId2" w:history="1">
        <w:r w:rsidRPr="000C33F6">
          <w:rPr>
            <w:rStyle w:val="Hyperlink"/>
          </w:rPr>
          <w:t>https://www.keene.edu/academics/fe/</w:t>
        </w:r>
      </w:hyperlink>
    </w:p>
  </w:footnote>
  <w:footnote w:id="4">
    <w:p w14:paraId="67FEB4AD" w14:textId="27F9B355" w:rsidR="00723FC2" w:rsidRPr="000C33F6" w:rsidRDefault="00723FC2">
      <w:pPr>
        <w:pStyle w:val="FootnoteText"/>
      </w:pPr>
      <w:r w:rsidRPr="000C33F6">
        <w:rPr>
          <w:rStyle w:val="FootnoteReference"/>
        </w:rPr>
        <w:footnoteRef/>
      </w:r>
      <w:r w:rsidRPr="000C33F6">
        <w:t xml:space="preserve"> Stakeholders</w:t>
      </w:r>
      <w:r w:rsidR="00DB03F0">
        <w:t xml:space="preserve"> including </w:t>
      </w:r>
      <w:r w:rsidRPr="000C33F6">
        <w:t xml:space="preserve">graduates, employers, graduate schools, parents, </w:t>
      </w:r>
      <w:r w:rsidR="00DB03F0">
        <w:t xml:space="preserve">and </w:t>
      </w:r>
      <w:r w:rsidRPr="000C33F6">
        <w:t>alumni</w:t>
      </w:r>
    </w:p>
  </w:footnote>
  <w:footnote w:id="5">
    <w:p w14:paraId="31664822" w14:textId="77777777" w:rsidR="00456FDF" w:rsidRPr="000C33F6" w:rsidRDefault="00456FDF">
      <w:pPr>
        <w:pStyle w:val="FootnoteText"/>
      </w:pPr>
      <w:r w:rsidRPr="000C33F6">
        <w:rPr>
          <w:rStyle w:val="FootnoteReference"/>
        </w:rPr>
        <w:footnoteRef/>
      </w:r>
      <w:r w:rsidRPr="000C33F6">
        <w:t xml:space="preserve"> Keene State College Mission Statement at </w:t>
      </w:r>
      <w:hyperlink r:id="rId3" w:history="1">
        <w:r w:rsidRPr="000C33F6">
          <w:rPr>
            <w:rStyle w:val="Hyperlink"/>
          </w:rPr>
          <w:t>https://www.keene.edu/administration/mission/</w:t>
        </w:r>
      </w:hyperlink>
    </w:p>
  </w:footnote>
  <w:footnote w:id="6">
    <w:p w14:paraId="3BEA20C9" w14:textId="77777777" w:rsidR="00723FC2" w:rsidRDefault="00723FC2" w:rsidP="006148E3">
      <w:pPr>
        <w:pStyle w:val="FootnoteText"/>
        <w:spacing w:line="240" w:lineRule="auto"/>
      </w:pPr>
      <w:r w:rsidRPr="000C33F6">
        <w:rPr>
          <w:rStyle w:val="FootnoteReference"/>
        </w:rPr>
        <w:footnoteRef/>
      </w:r>
      <w:r w:rsidRPr="000C33F6">
        <w:t xml:space="preserve"> High-impact learning practices summarized at  </w:t>
      </w:r>
      <w:hyperlink r:id="rId4" w:history="1">
        <w:r w:rsidRPr="000C33F6">
          <w:rPr>
            <w:rStyle w:val="Hyperlink"/>
          </w:rPr>
          <w:t>http://www.aacu.org/leap/hip.cfm</w:t>
        </w:r>
      </w:hyperlink>
    </w:p>
  </w:footnote>
  <w:footnote w:id="7">
    <w:p w14:paraId="1FF89018" w14:textId="77777777" w:rsidR="00723FC2" w:rsidRDefault="00723FC2">
      <w:pPr>
        <w:pStyle w:val="FootnoteText"/>
      </w:pPr>
      <w:r>
        <w:rPr>
          <w:rStyle w:val="FootnoteReference"/>
        </w:rPr>
        <w:footnoteRef/>
      </w:r>
      <w:r>
        <w:t xml:space="preserve"> This guideline is supplemental to the Faculty Handbook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9ACD3" w14:textId="537BEFCB" w:rsidR="00723FC2" w:rsidRDefault="00EA49F9">
    <w:pPr>
      <w:pStyle w:val="Header"/>
    </w:pPr>
    <w:r>
      <w:t>SOHAS</w:t>
    </w:r>
    <w:r w:rsidR="00723FC2">
      <w:t xml:space="preserve"> DPEC guidelines</w:t>
    </w:r>
    <w:r w:rsidR="00723FC2">
      <w:tab/>
    </w:r>
    <w:r w:rsidR="0025240A">
      <w:tab/>
      <w:t xml:space="preserve">Rev. Date </w:t>
    </w:r>
    <w:r w:rsidR="000C33F6">
      <w:t>11/15/23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7D74"/>
    <w:multiLevelType w:val="hybridMultilevel"/>
    <w:tmpl w:val="529465C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223790"/>
    <w:multiLevelType w:val="hybridMultilevel"/>
    <w:tmpl w:val="EA600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5A08"/>
    <w:multiLevelType w:val="hybridMultilevel"/>
    <w:tmpl w:val="F67448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176D0C"/>
    <w:multiLevelType w:val="hybridMultilevel"/>
    <w:tmpl w:val="4E5A3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0D0F43"/>
    <w:multiLevelType w:val="hybridMultilevel"/>
    <w:tmpl w:val="0A908E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C74170"/>
    <w:multiLevelType w:val="hybridMultilevel"/>
    <w:tmpl w:val="2F0C6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CD4CB8"/>
    <w:multiLevelType w:val="hybridMultilevel"/>
    <w:tmpl w:val="4E72F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11D6569"/>
    <w:multiLevelType w:val="hybridMultilevel"/>
    <w:tmpl w:val="14C4055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648B6F65"/>
    <w:multiLevelType w:val="hybridMultilevel"/>
    <w:tmpl w:val="A71C8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3C2E72"/>
    <w:multiLevelType w:val="hybridMultilevel"/>
    <w:tmpl w:val="50E4A26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2129663178">
    <w:abstractNumId w:val="1"/>
  </w:num>
  <w:num w:numId="2" w16cid:durableId="848907615">
    <w:abstractNumId w:val="2"/>
  </w:num>
  <w:num w:numId="3" w16cid:durableId="137771317">
    <w:abstractNumId w:val="0"/>
  </w:num>
  <w:num w:numId="4" w16cid:durableId="1713111450">
    <w:abstractNumId w:val="8"/>
  </w:num>
  <w:num w:numId="5" w16cid:durableId="560554599">
    <w:abstractNumId w:val="4"/>
  </w:num>
  <w:num w:numId="6" w16cid:durableId="1137799459">
    <w:abstractNumId w:val="3"/>
  </w:num>
  <w:num w:numId="7" w16cid:durableId="648365433">
    <w:abstractNumId w:val="9"/>
  </w:num>
  <w:num w:numId="8" w16cid:durableId="811748701">
    <w:abstractNumId w:val="6"/>
  </w:num>
  <w:num w:numId="9" w16cid:durableId="510224096">
    <w:abstractNumId w:val="7"/>
  </w:num>
  <w:num w:numId="10" w16cid:durableId="3159623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E9"/>
    <w:rsid w:val="000813B7"/>
    <w:rsid w:val="00090C6D"/>
    <w:rsid w:val="000C33F6"/>
    <w:rsid w:val="0011237D"/>
    <w:rsid w:val="00196C4A"/>
    <w:rsid w:val="001D0203"/>
    <w:rsid w:val="0025240A"/>
    <w:rsid w:val="00270043"/>
    <w:rsid w:val="00283040"/>
    <w:rsid w:val="003602B3"/>
    <w:rsid w:val="003B4FCA"/>
    <w:rsid w:val="00445CF2"/>
    <w:rsid w:val="00456FDF"/>
    <w:rsid w:val="004617CF"/>
    <w:rsid w:val="00515D36"/>
    <w:rsid w:val="00594074"/>
    <w:rsid w:val="005B29A9"/>
    <w:rsid w:val="005D1283"/>
    <w:rsid w:val="0060282B"/>
    <w:rsid w:val="006148E3"/>
    <w:rsid w:val="00623813"/>
    <w:rsid w:val="0063410F"/>
    <w:rsid w:val="0065005B"/>
    <w:rsid w:val="00664AC4"/>
    <w:rsid w:val="006F1CE9"/>
    <w:rsid w:val="00713D76"/>
    <w:rsid w:val="00723FC2"/>
    <w:rsid w:val="00753047"/>
    <w:rsid w:val="00854735"/>
    <w:rsid w:val="009206AB"/>
    <w:rsid w:val="00937AEB"/>
    <w:rsid w:val="00971A67"/>
    <w:rsid w:val="00972D19"/>
    <w:rsid w:val="009D43D6"/>
    <w:rsid w:val="00A45576"/>
    <w:rsid w:val="00A61005"/>
    <w:rsid w:val="00B041A4"/>
    <w:rsid w:val="00BB0B4F"/>
    <w:rsid w:val="00BC7924"/>
    <w:rsid w:val="00C2715F"/>
    <w:rsid w:val="00C4713E"/>
    <w:rsid w:val="00C73BA5"/>
    <w:rsid w:val="00C936B3"/>
    <w:rsid w:val="00D0037B"/>
    <w:rsid w:val="00D3720F"/>
    <w:rsid w:val="00D4647E"/>
    <w:rsid w:val="00DB03F0"/>
    <w:rsid w:val="00E1531E"/>
    <w:rsid w:val="00E301F2"/>
    <w:rsid w:val="00E60879"/>
    <w:rsid w:val="00E65CAB"/>
    <w:rsid w:val="00E8219F"/>
    <w:rsid w:val="00EA49F9"/>
    <w:rsid w:val="00EB0C77"/>
    <w:rsid w:val="00F17AFF"/>
    <w:rsid w:val="00F5141A"/>
    <w:rsid w:val="00F61D6F"/>
    <w:rsid w:val="00FC4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702C"/>
  <w15:chartTrackingRefBased/>
  <w15:docId w15:val="{A10D9E36-6766-AE45-8304-35194B3F4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CE9"/>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F1CE9"/>
    <w:pPr>
      <w:spacing w:after="0" w:line="240" w:lineRule="auto"/>
    </w:pPr>
    <w:rPr>
      <w:rFonts w:eastAsia="Times New Roman"/>
      <w:szCs w:val="20"/>
    </w:rPr>
  </w:style>
  <w:style w:type="character" w:customStyle="1" w:styleId="BodyTextChar">
    <w:name w:val="Body Text Char"/>
    <w:link w:val="BodyText"/>
    <w:rsid w:val="006F1CE9"/>
    <w:rPr>
      <w:rFonts w:ascii="Times New Roman" w:eastAsia="Times New Roman" w:hAnsi="Times New Roman" w:cs="Times New Roman"/>
      <w:sz w:val="24"/>
      <w:szCs w:val="20"/>
    </w:rPr>
  </w:style>
  <w:style w:type="paragraph" w:styleId="ListParagraph">
    <w:name w:val="List Paragraph"/>
    <w:basedOn w:val="Normal"/>
    <w:uiPriority w:val="34"/>
    <w:qFormat/>
    <w:rsid w:val="006F1CE9"/>
    <w:pPr>
      <w:ind w:left="720"/>
    </w:pPr>
  </w:style>
  <w:style w:type="paragraph" w:styleId="Footer">
    <w:name w:val="footer"/>
    <w:basedOn w:val="Normal"/>
    <w:link w:val="FooterChar"/>
    <w:uiPriority w:val="99"/>
    <w:unhideWhenUsed/>
    <w:rsid w:val="006F1CE9"/>
    <w:pPr>
      <w:tabs>
        <w:tab w:val="center" w:pos="4680"/>
        <w:tab w:val="right" w:pos="9360"/>
      </w:tabs>
    </w:pPr>
  </w:style>
  <w:style w:type="character" w:customStyle="1" w:styleId="FooterChar">
    <w:name w:val="Footer Char"/>
    <w:link w:val="Footer"/>
    <w:uiPriority w:val="99"/>
    <w:rsid w:val="006F1CE9"/>
    <w:rPr>
      <w:rFonts w:ascii="Times New Roman" w:eastAsia="Calibri" w:hAnsi="Times New Roman" w:cs="Times New Roman"/>
      <w:sz w:val="24"/>
      <w:szCs w:val="24"/>
    </w:rPr>
  </w:style>
  <w:style w:type="paragraph" w:styleId="FootnoteText">
    <w:name w:val="footnote text"/>
    <w:basedOn w:val="Normal"/>
    <w:link w:val="FootnoteTextChar"/>
    <w:uiPriority w:val="99"/>
    <w:semiHidden/>
    <w:unhideWhenUsed/>
    <w:rsid w:val="00664AC4"/>
    <w:rPr>
      <w:sz w:val="20"/>
      <w:szCs w:val="20"/>
    </w:rPr>
  </w:style>
  <w:style w:type="character" w:customStyle="1" w:styleId="FootnoteTextChar">
    <w:name w:val="Footnote Text Char"/>
    <w:link w:val="FootnoteText"/>
    <w:uiPriority w:val="99"/>
    <w:semiHidden/>
    <w:rsid w:val="00664AC4"/>
    <w:rPr>
      <w:rFonts w:ascii="Times New Roman" w:hAnsi="Times New Roman"/>
    </w:rPr>
  </w:style>
  <w:style w:type="character" w:styleId="FootnoteReference">
    <w:name w:val="footnote reference"/>
    <w:uiPriority w:val="99"/>
    <w:semiHidden/>
    <w:unhideWhenUsed/>
    <w:rsid w:val="00664AC4"/>
    <w:rPr>
      <w:vertAlign w:val="superscript"/>
    </w:rPr>
  </w:style>
  <w:style w:type="paragraph" w:styleId="Header">
    <w:name w:val="header"/>
    <w:basedOn w:val="Normal"/>
    <w:link w:val="HeaderChar"/>
    <w:uiPriority w:val="99"/>
    <w:unhideWhenUsed/>
    <w:rsid w:val="00C936B3"/>
    <w:pPr>
      <w:tabs>
        <w:tab w:val="center" w:pos="4680"/>
        <w:tab w:val="right" w:pos="9360"/>
      </w:tabs>
    </w:pPr>
  </w:style>
  <w:style w:type="character" w:customStyle="1" w:styleId="HeaderChar">
    <w:name w:val="Header Char"/>
    <w:link w:val="Header"/>
    <w:uiPriority w:val="99"/>
    <w:rsid w:val="00C936B3"/>
    <w:rPr>
      <w:rFonts w:ascii="Times New Roman" w:hAnsi="Times New Roman"/>
      <w:sz w:val="24"/>
      <w:szCs w:val="24"/>
    </w:rPr>
  </w:style>
  <w:style w:type="character" w:styleId="Hyperlink">
    <w:name w:val="Hyperlink"/>
    <w:uiPriority w:val="99"/>
    <w:unhideWhenUsed/>
    <w:rsid w:val="00E8219F"/>
    <w:rPr>
      <w:color w:val="0000FF"/>
      <w:u w:val="single"/>
    </w:rPr>
  </w:style>
  <w:style w:type="character" w:customStyle="1" w:styleId="apple-style-span">
    <w:name w:val="apple-style-span"/>
    <w:rsid w:val="0025240A"/>
  </w:style>
  <w:style w:type="character" w:styleId="UnresolvedMention">
    <w:name w:val="Unresolved Mention"/>
    <w:uiPriority w:val="99"/>
    <w:semiHidden/>
    <w:unhideWhenUsed/>
    <w:rsid w:val="00456FDF"/>
    <w:rPr>
      <w:color w:val="605E5C"/>
      <w:shd w:val="clear" w:color="auto" w:fill="E1DFDD"/>
    </w:rPr>
  </w:style>
  <w:style w:type="character" w:styleId="FollowedHyperlink">
    <w:name w:val="FollowedHyperlink"/>
    <w:uiPriority w:val="99"/>
    <w:semiHidden/>
    <w:unhideWhenUsed/>
    <w:rsid w:val="00BC792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0141">
      <w:bodyDiv w:val="1"/>
      <w:marLeft w:val="0"/>
      <w:marRight w:val="0"/>
      <w:marTop w:val="0"/>
      <w:marBottom w:val="0"/>
      <w:divBdr>
        <w:top w:val="none" w:sz="0" w:space="0" w:color="auto"/>
        <w:left w:val="none" w:sz="0" w:space="0" w:color="auto"/>
        <w:bottom w:val="none" w:sz="0" w:space="0" w:color="auto"/>
        <w:right w:val="none" w:sz="0" w:space="0" w:color="auto"/>
      </w:divBdr>
      <w:divsChild>
        <w:div w:id="1849834320">
          <w:marLeft w:val="0"/>
          <w:marRight w:val="0"/>
          <w:marTop w:val="0"/>
          <w:marBottom w:val="0"/>
          <w:divBdr>
            <w:top w:val="none" w:sz="0" w:space="0" w:color="auto"/>
            <w:left w:val="none" w:sz="0" w:space="0" w:color="auto"/>
            <w:bottom w:val="none" w:sz="0" w:space="0" w:color="auto"/>
            <w:right w:val="none" w:sz="0" w:space="0" w:color="auto"/>
          </w:divBdr>
          <w:divsChild>
            <w:div w:id="451632047">
              <w:marLeft w:val="0"/>
              <w:marRight w:val="0"/>
              <w:marTop w:val="0"/>
              <w:marBottom w:val="0"/>
              <w:divBdr>
                <w:top w:val="none" w:sz="0" w:space="0" w:color="auto"/>
                <w:left w:val="none" w:sz="0" w:space="0" w:color="auto"/>
                <w:bottom w:val="none" w:sz="0" w:space="0" w:color="auto"/>
                <w:right w:val="none" w:sz="0" w:space="0" w:color="auto"/>
              </w:divBdr>
              <w:divsChild>
                <w:div w:id="13211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273131">
      <w:bodyDiv w:val="1"/>
      <w:marLeft w:val="0"/>
      <w:marRight w:val="0"/>
      <w:marTop w:val="0"/>
      <w:marBottom w:val="0"/>
      <w:divBdr>
        <w:top w:val="none" w:sz="0" w:space="0" w:color="auto"/>
        <w:left w:val="none" w:sz="0" w:space="0" w:color="auto"/>
        <w:bottom w:val="none" w:sz="0" w:space="0" w:color="auto"/>
        <w:right w:val="none" w:sz="0" w:space="0" w:color="auto"/>
      </w:divBdr>
    </w:div>
    <w:div w:id="442963351">
      <w:bodyDiv w:val="1"/>
      <w:marLeft w:val="0"/>
      <w:marRight w:val="0"/>
      <w:marTop w:val="0"/>
      <w:marBottom w:val="0"/>
      <w:divBdr>
        <w:top w:val="none" w:sz="0" w:space="0" w:color="auto"/>
        <w:left w:val="none" w:sz="0" w:space="0" w:color="auto"/>
        <w:bottom w:val="none" w:sz="0" w:space="0" w:color="auto"/>
        <w:right w:val="none" w:sz="0" w:space="0" w:color="auto"/>
      </w:divBdr>
      <w:divsChild>
        <w:div w:id="327443177">
          <w:marLeft w:val="0"/>
          <w:marRight w:val="0"/>
          <w:marTop w:val="0"/>
          <w:marBottom w:val="0"/>
          <w:divBdr>
            <w:top w:val="none" w:sz="0" w:space="0" w:color="auto"/>
            <w:left w:val="none" w:sz="0" w:space="0" w:color="auto"/>
            <w:bottom w:val="none" w:sz="0" w:space="0" w:color="auto"/>
            <w:right w:val="none" w:sz="0" w:space="0" w:color="auto"/>
          </w:divBdr>
          <w:divsChild>
            <w:div w:id="980772128">
              <w:marLeft w:val="0"/>
              <w:marRight w:val="0"/>
              <w:marTop w:val="0"/>
              <w:marBottom w:val="0"/>
              <w:divBdr>
                <w:top w:val="none" w:sz="0" w:space="0" w:color="auto"/>
                <w:left w:val="none" w:sz="0" w:space="0" w:color="auto"/>
                <w:bottom w:val="none" w:sz="0" w:space="0" w:color="auto"/>
                <w:right w:val="none" w:sz="0" w:space="0" w:color="auto"/>
              </w:divBdr>
              <w:divsChild>
                <w:div w:id="1363943061">
                  <w:marLeft w:val="0"/>
                  <w:marRight w:val="0"/>
                  <w:marTop w:val="0"/>
                  <w:marBottom w:val="0"/>
                  <w:divBdr>
                    <w:top w:val="none" w:sz="0" w:space="0" w:color="auto"/>
                    <w:left w:val="none" w:sz="0" w:space="0" w:color="auto"/>
                    <w:bottom w:val="none" w:sz="0" w:space="0" w:color="auto"/>
                    <w:right w:val="none" w:sz="0" w:space="0" w:color="auto"/>
                  </w:divBdr>
                </w:div>
              </w:divsChild>
            </w:div>
            <w:div w:id="537858433">
              <w:marLeft w:val="0"/>
              <w:marRight w:val="0"/>
              <w:marTop w:val="0"/>
              <w:marBottom w:val="0"/>
              <w:divBdr>
                <w:top w:val="none" w:sz="0" w:space="0" w:color="auto"/>
                <w:left w:val="none" w:sz="0" w:space="0" w:color="auto"/>
                <w:bottom w:val="none" w:sz="0" w:space="0" w:color="auto"/>
                <w:right w:val="none" w:sz="0" w:space="0" w:color="auto"/>
              </w:divBdr>
              <w:divsChild>
                <w:div w:id="199367957">
                  <w:marLeft w:val="0"/>
                  <w:marRight w:val="0"/>
                  <w:marTop w:val="0"/>
                  <w:marBottom w:val="0"/>
                  <w:divBdr>
                    <w:top w:val="none" w:sz="0" w:space="0" w:color="auto"/>
                    <w:left w:val="none" w:sz="0" w:space="0" w:color="auto"/>
                    <w:bottom w:val="none" w:sz="0" w:space="0" w:color="auto"/>
                    <w:right w:val="none" w:sz="0" w:space="0" w:color="auto"/>
                  </w:divBdr>
                  <w:divsChild>
                    <w:div w:id="481890839">
                      <w:marLeft w:val="0"/>
                      <w:marRight w:val="0"/>
                      <w:marTop w:val="0"/>
                      <w:marBottom w:val="0"/>
                      <w:divBdr>
                        <w:top w:val="none" w:sz="0" w:space="0" w:color="auto"/>
                        <w:left w:val="none" w:sz="0" w:space="0" w:color="auto"/>
                        <w:bottom w:val="none" w:sz="0" w:space="0" w:color="auto"/>
                        <w:right w:val="none" w:sz="0" w:space="0" w:color="auto"/>
                      </w:divBdr>
                    </w:div>
                  </w:divsChild>
                </w:div>
                <w:div w:id="138766083">
                  <w:marLeft w:val="0"/>
                  <w:marRight w:val="0"/>
                  <w:marTop w:val="0"/>
                  <w:marBottom w:val="0"/>
                  <w:divBdr>
                    <w:top w:val="none" w:sz="0" w:space="0" w:color="auto"/>
                    <w:left w:val="none" w:sz="0" w:space="0" w:color="auto"/>
                    <w:bottom w:val="none" w:sz="0" w:space="0" w:color="auto"/>
                    <w:right w:val="none" w:sz="0" w:space="0" w:color="auto"/>
                  </w:divBdr>
                  <w:divsChild>
                    <w:div w:id="761534886">
                      <w:marLeft w:val="0"/>
                      <w:marRight w:val="0"/>
                      <w:marTop w:val="0"/>
                      <w:marBottom w:val="0"/>
                      <w:divBdr>
                        <w:top w:val="none" w:sz="0" w:space="0" w:color="auto"/>
                        <w:left w:val="none" w:sz="0" w:space="0" w:color="auto"/>
                        <w:bottom w:val="none" w:sz="0" w:space="0" w:color="auto"/>
                        <w:right w:val="none" w:sz="0" w:space="0" w:color="auto"/>
                      </w:divBdr>
                    </w:div>
                  </w:divsChild>
                </w:div>
                <w:div w:id="1973752833">
                  <w:marLeft w:val="0"/>
                  <w:marRight w:val="0"/>
                  <w:marTop w:val="0"/>
                  <w:marBottom w:val="0"/>
                  <w:divBdr>
                    <w:top w:val="none" w:sz="0" w:space="0" w:color="auto"/>
                    <w:left w:val="none" w:sz="0" w:space="0" w:color="auto"/>
                    <w:bottom w:val="none" w:sz="0" w:space="0" w:color="auto"/>
                    <w:right w:val="none" w:sz="0" w:space="0" w:color="auto"/>
                  </w:divBdr>
                  <w:divsChild>
                    <w:div w:id="2011788976">
                      <w:marLeft w:val="0"/>
                      <w:marRight w:val="0"/>
                      <w:marTop w:val="0"/>
                      <w:marBottom w:val="0"/>
                      <w:divBdr>
                        <w:top w:val="none" w:sz="0" w:space="0" w:color="auto"/>
                        <w:left w:val="none" w:sz="0" w:space="0" w:color="auto"/>
                        <w:bottom w:val="none" w:sz="0" w:space="0" w:color="auto"/>
                        <w:right w:val="none" w:sz="0" w:space="0" w:color="auto"/>
                      </w:divBdr>
                    </w:div>
                  </w:divsChild>
                </w:div>
                <w:div w:id="1079405454">
                  <w:marLeft w:val="0"/>
                  <w:marRight w:val="0"/>
                  <w:marTop w:val="0"/>
                  <w:marBottom w:val="0"/>
                  <w:divBdr>
                    <w:top w:val="none" w:sz="0" w:space="0" w:color="auto"/>
                    <w:left w:val="none" w:sz="0" w:space="0" w:color="auto"/>
                    <w:bottom w:val="none" w:sz="0" w:space="0" w:color="auto"/>
                    <w:right w:val="none" w:sz="0" w:space="0" w:color="auto"/>
                  </w:divBdr>
                  <w:divsChild>
                    <w:div w:id="1866018774">
                      <w:marLeft w:val="0"/>
                      <w:marRight w:val="0"/>
                      <w:marTop w:val="0"/>
                      <w:marBottom w:val="0"/>
                      <w:divBdr>
                        <w:top w:val="none" w:sz="0" w:space="0" w:color="auto"/>
                        <w:left w:val="none" w:sz="0" w:space="0" w:color="auto"/>
                        <w:bottom w:val="none" w:sz="0" w:space="0" w:color="auto"/>
                        <w:right w:val="none" w:sz="0" w:space="0" w:color="auto"/>
                      </w:divBdr>
                    </w:div>
                  </w:divsChild>
                </w:div>
                <w:div w:id="1603295507">
                  <w:marLeft w:val="0"/>
                  <w:marRight w:val="0"/>
                  <w:marTop w:val="0"/>
                  <w:marBottom w:val="0"/>
                  <w:divBdr>
                    <w:top w:val="none" w:sz="0" w:space="0" w:color="auto"/>
                    <w:left w:val="none" w:sz="0" w:space="0" w:color="auto"/>
                    <w:bottom w:val="none" w:sz="0" w:space="0" w:color="auto"/>
                    <w:right w:val="none" w:sz="0" w:space="0" w:color="auto"/>
                  </w:divBdr>
                  <w:divsChild>
                    <w:div w:id="1527906920">
                      <w:marLeft w:val="0"/>
                      <w:marRight w:val="0"/>
                      <w:marTop w:val="0"/>
                      <w:marBottom w:val="0"/>
                      <w:divBdr>
                        <w:top w:val="none" w:sz="0" w:space="0" w:color="auto"/>
                        <w:left w:val="none" w:sz="0" w:space="0" w:color="auto"/>
                        <w:bottom w:val="none" w:sz="0" w:space="0" w:color="auto"/>
                        <w:right w:val="none" w:sz="0" w:space="0" w:color="auto"/>
                      </w:divBdr>
                    </w:div>
                  </w:divsChild>
                </w:div>
                <w:div w:id="1590188615">
                  <w:marLeft w:val="0"/>
                  <w:marRight w:val="0"/>
                  <w:marTop w:val="0"/>
                  <w:marBottom w:val="0"/>
                  <w:divBdr>
                    <w:top w:val="none" w:sz="0" w:space="0" w:color="auto"/>
                    <w:left w:val="none" w:sz="0" w:space="0" w:color="auto"/>
                    <w:bottom w:val="none" w:sz="0" w:space="0" w:color="auto"/>
                    <w:right w:val="none" w:sz="0" w:space="0" w:color="auto"/>
                  </w:divBdr>
                  <w:divsChild>
                    <w:div w:id="1380124955">
                      <w:marLeft w:val="0"/>
                      <w:marRight w:val="0"/>
                      <w:marTop w:val="0"/>
                      <w:marBottom w:val="0"/>
                      <w:divBdr>
                        <w:top w:val="none" w:sz="0" w:space="0" w:color="auto"/>
                        <w:left w:val="none" w:sz="0" w:space="0" w:color="auto"/>
                        <w:bottom w:val="none" w:sz="0" w:space="0" w:color="auto"/>
                        <w:right w:val="none" w:sz="0" w:space="0" w:color="auto"/>
                      </w:divBdr>
                    </w:div>
                  </w:divsChild>
                </w:div>
                <w:div w:id="1428160786">
                  <w:marLeft w:val="0"/>
                  <w:marRight w:val="0"/>
                  <w:marTop w:val="0"/>
                  <w:marBottom w:val="0"/>
                  <w:divBdr>
                    <w:top w:val="none" w:sz="0" w:space="0" w:color="auto"/>
                    <w:left w:val="none" w:sz="0" w:space="0" w:color="auto"/>
                    <w:bottom w:val="none" w:sz="0" w:space="0" w:color="auto"/>
                    <w:right w:val="none" w:sz="0" w:space="0" w:color="auto"/>
                  </w:divBdr>
                  <w:divsChild>
                    <w:div w:id="1751463532">
                      <w:marLeft w:val="0"/>
                      <w:marRight w:val="0"/>
                      <w:marTop w:val="0"/>
                      <w:marBottom w:val="0"/>
                      <w:divBdr>
                        <w:top w:val="none" w:sz="0" w:space="0" w:color="auto"/>
                        <w:left w:val="none" w:sz="0" w:space="0" w:color="auto"/>
                        <w:bottom w:val="none" w:sz="0" w:space="0" w:color="auto"/>
                        <w:right w:val="none" w:sz="0" w:space="0" w:color="auto"/>
                      </w:divBdr>
                    </w:div>
                  </w:divsChild>
                </w:div>
                <w:div w:id="353771819">
                  <w:marLeft w:val="0"/>
                  <w:marRight w:val="0"/>
                  <w:marTop w:val="0"/>
                  <w:marBottom w:val="0"/>
                  <w:divBdr>
                    <w:top w:val="none" w:sz="0" w:space="0" w:color="auto"/>
                    <w:left w:val="none" w:sz="0" w:space="0" w:color="auto"/>
                    <w:bottom w:val="none" w:sz="0" w:space="0" w:color="auto"/>
                    <w:right w:val="none" w:sz="0" w:space="0" w:color="auto"/>
                  </w:divBdr>
                  <w:divsChild>
                    <w:div w:id="417019718">
                      <w:marLeft w:val="0"/>
                      <w:marRight w:val="0"/>
                      <w:marTop w:val="0"/>
                      <w:marBottom w:val="0"/>
                      <w:divBdr>
                        <w:top w:val="none" w:sz="0" w:space="0" w:color="auto"/>
                        <w:left w:val="none" w:sz="0" w:space="0" w:color="auto"/>
                        <w:bottom w:val="none" w:sz="0" w:space="0" w:color="auto"/>
                        <w:right w:val="none" w:sz="0" w:space="0" w:color="auto"/>
                      </w:divBdr>
                    </w:div>
                  </w:divsChild>
                </w:div>
                <w:div w:id="1776901713">
                  <w:marLeft w:val="0"/>
                  <w:marRight w:val="0"/>
                  <w:marTop w:val="0"/>
                  <w:marBottom w:val="0"/>
                  <w:divBdr>
                    <w:top w:val="none" w:sz="0" w:space="0" w:color="auto"/>
                    <w:left w:val="none" w:sz="0" w:space="0" w:color="auto"/>
                    <w:bottom w:val="none" w:sz="0" w:space="0" w:color="auto"/>
                    <w:right w:val="none" w:sz="0" w:space="0" w:color="auto"/>
                  </w:divBdr>
                  <w:divsChild>
                    <w:div w:id="1930694022">
                      <w:marLeft w:val="0"/>
                      <w:marRight w:val="0"/>
                      <w:marTop w:val="0"/>
                      <w:marBottom w:val="0"/>
                      <w:divBdr>
                        <w:top w:val="none" w:sz="0" w:space="0" w:color="auto"/>
                        <w:left w:val="none" w:sz="0" w:space="0" w:color="auto"/>
                        <w:bottom w:val="none" w:sz="0" w:space="0" w:color="auto"/>
                        <w:right w:val="none" w:sz="0" w:space="0" w:color="auto"/>
                      </w:divBdr>
                    </w:div>
                  </w:divsChild>
                </w:div>
                <w:div w:id="1199468510">
                  <w:marLeft w:val="0"/>
                  <w:marRight w:val="0"/>
                  <w:marTop w:val="0"/>
                  <w:marBottom w:val="0"/>
                  <w:divBdr>
                    <w:top w:val="none" w:sz="0" w:space="0" w:color="auto"/>
                    <w:left w:val="none" w:sz="0" w:space="0" w:color="auto"/>
                    <w:bottom w:val="none" w:sz="0" w:space="0" w:color="auto"/>
                    <w:right w:val="none" w:sz="0" w:space="0" w:color="auto"/>
                  </w:divBdr>
                  <w:divsChild>
                    <w:div w:id="1711297747">
                      <w:marLeft w:val="0"/>
                      <w:marRight w:val="0"/>
                      <w:marTop w:val="0"/>
                      <w:marBottom w:val="0"/>
                      <w:divBdr>
                        <w:top w:val="none" w:sz="0" w:space="0" w:color="auto"/>
                        <w:left w:val="none" w:sz="0" w:space="0" w:color="auto"/>
                        <w:bottom w:val="none" w:sz="0" w:space="0" w:color="auto"/>
                        <w:right w:val="none" w:sz="0" w:space="0" w:color="auto"/>
                      </w:divBdr>
                    </w:div>
                  </w:divsChild>
                </w:div>
                <w:div w:id="1327588699">
                  <w:marLeft w:val="0"/>
                  <w:marRight w:val="0"/>
                  <w:marTop w:val="0"/>
                  <w:marBottom w:val="0"/>
                  <w:divBdr>
                    <w:top w:val="none" w:sz="0" w:space="0" w:color="auto"/>
                    <w:left w:val="none" w:sz="0" w:space="0" w:color="auto"/>
                    <w:bottom w:val="none" w:sz="0" w:space="0" w:color="auto"/>
                    <w:right w:val="none" w:sz="0" w:space="0" w:color="auto"/>
                  </w:divBdr>
                  <w:divsChild>
                    <w:div w:id="829366793">
                      <w:marLeft w:val="0"/>
                      <w:marRight w:val="0"/>
                      <w:marTop w:val="0"/>
                      <w:marBottom w:val="0"/>
                      <w:divBdr>
                        <w:top w:val="none" w:sz="0" w:space="0" w:color="auto"/>
                        <w:left w:val="none" w:sz="0" w:space="0" w:color="auto"/>
                        <w:bottom w:val="none" w:sz="0" w:space="0" w:color="auto"/>
                        <w:right w:val="none" w:sz="0" w:space="0" w:color="auto"/>
                      </w:divBdr>
                    </w:div>
                  </w:divsChild>
                </w:div>
                <w:div w:id="521163967">
                  <w:marLeft w:val="0"/>
                  <w:marRight w:val="0"/>
                  <w:marTop w:val="0"/>
                  <w:marBottom w:val="0"/>
                  <w:divBdr>
                    <w:top w:val="none" w:sz="0" w:space="0" w:color="auto"/>
                    <w:left w:val="none" w:sz="0" w:space="0" w:color="auto"/>
                    <w:bottom w:val="none" w:sz="0" w:space="0" w:color="auto"/>
                    <w:right w:val="none" w:sz="0" w:space="0" w:color="auto"/>
                  </w:divBdr>
                  <w:divsChild>
                    <w:div w:id="1882015740">
                      <w:marLeft w:val="0"/>
                      <w:marRight w:val="0"/>
                      <w:marTop w:val="0"/>
                      <w:marBottom w:val="0"/>
                      <w:divBdr>
                        <w:top w:val="none" w:sz="0" w:space="0" w:color="auto"/>
                        <w:left w:val="none" w:sz="0" w:space="0" w:color="auto"/>
                        <w:bottom w:val="none" w:sz="0" w:space="0" w:color="auto"/>
                        <w:right w:val="none" w:sz="0" w:space="0" w:color="auto"/>
                      </w:divBdr>
                    </w:div>
                  </w:divsChild>
                </w:div>
                <w:div w:id="879703345">
                  <w:marLeft w:val="0"/>
                  <w:marRight w:val="0"/>
                  <w:marTop w:val="0"/>
                  <w:marBottom w:val="0"/>
                  <w:divBdr>
                    <w:top w:val="none" w:sz="0" w:space="0" w:color="auto"/>
                    <w:left w:val="none" w:sz="0" w:space="0" w:color="auto"/>
                    <w:bottom w:val="none" w:sz="0" w:space="0" w:color="auto"/>
                    <w:right w:val="none" w:sz="0" w:space="0" w:color="auto"/>
                  </w:divBdr>
                  <w:divsChild>
                    <w:div w:id="1441757721">
                      <w:marLeft w:val="0"/>
                      <w:marRight w:val="0"/>
                      <w:marTop w:val="0"/>
                      <w:marBottom w:val="0"/>
                      <w:divBdr>
                        <w:top w:val="none" w:sz="0" w:space="0" w:color="auto"/>
                        <w:left w:val="none" w:sz="0" w:space="0" w:color="auto"/>
                        <w:bottom w:val="none" w:sz="0" w:space="0" w:color="auto"/>
                        <w:right w:val="none" w:sz="0" w:space="0" w:color="auto"/>
                      </w:divBdr>
                    </w:div>
                  </w:divsChild>
                </w:div>
                <w:div w:id="750539039">
                  <w:marLeft w:val="0"/>
                  <w:marRight w:val="0"/>
                  <w:marTop w:val="0"/>
                  <w:marBottom w:val="0"/>
                  <w:divBdr>
                    <w:top w:val="none" w:sz="0" w:space="0" w:color="auto"/>
                    <w:left w:val="none" w:sz="0" w:space="0" w:color="auto"/>
                    <w:bottom w:val="none" w:sz="0" w:space="0" w:color="auto"/>
                    <w:right w:val="none" w:sz="0" w:space="0" w:color="auto"/>
                  </w:divBdr>
                  <w:divsChild>
                    <w:div w:id="10188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13021">
      <w:bodyDiv w:val="1"/>
      <w:marLeft w:val="0"/>
      <w:marRight w:val="0"/>
      <w:marTop w:val="0"/>
      <w:marBottom w:val="0"/>
      <w:divBdr>
        <w:top w:val="none" w:sz="0" w:space="0" w:color="auto"/>
        <w:left w:val="none" w:sz="0" w:space="0" w:color="auto"/>
        <w:bottom w:val="none" w:sz="0" w:space="0" w:color="auto"/>
        <w:right w:val="none" w:sz="0" w:space="0" w:color="auto"/>
      </w:divBdr>
    </w:div>
    <w:div w:id="826096861">
      <w:bodyDiv w:val="1"/>
      <w:marLeft w:val="0"/>
      <w:marRight w:val="0"/>
      <w:marTop w:val="0"/>
      <w:marBottom w:val="0"/>
      <w:divBdr>
        <w:top w:val="none" w:sz="0" w:space="0" w:color="auto"/>
        <w:left w:val="none" w:sz="0" w:space="0" w:color="auto"/>
        <w:bottom w:val="none" w:sz="0" w:space="0" w:color="auto"/>
        <w:right w:val="none" w:sz="0" w:space="0" w:color="auto"/>
      </w:divBdr>
    </w:div>
    <w:div w:id="1413425719">
      <w:bodyDiv w:val="1"/>
      <w:marLeft w:val="0"/>
      <w:marRight w:val="0"/>
      <w:marTop w:val="0"/>
      <w:marBottom w:val="0"/>
      <w:divBdr>
        <w:top w:val="none" w:sz="0" w:space="0" w:color="auto"/>
        <w:left w:val="none" w:sz="0" w:space="0" w:color="auto"/>
        <w:bottom w:val="none" w:sz="0" w:space="0" w:color="auto"/>
        <w:right w:val="none" w:sz="0" w:space="0" w:color="auto"/>
      </w:divBdr>
    </w:div>
    <w:div w:id="1739203581">
      <w:bodyDiv w:val="1"/>
      <w:marLeft w:val="0"/>
      <w:marRight w:val="0"/>
      <w:marTop w:val="0"/>
      <w:marBottom w:val="0"/>
      <w:divBdr>
        <w:top w:val="none" w:sz="0" w:space="0" w:color="auto"/>
        <w:left w:val="none" w:sz="0" w:space="0" w:color="auto"/>
        <w:bottom w:val="none" w:sz="0" w:space="0" w:color="auto"/>
        <w:right w:val="none" w:sz="0" w:space="0" w:color="auto"/>
      </w:divBdr>
      <w:divsChild>
        <w:div w:id="541483725">
          <w:marLeft w:val="0"/>
          <w:marRight w:val="0"/>
          <w:marTop w:val="0"/>
          <w:marBottom w:val="0"/>
          <w:divBdr>
            <w:top w:val="none" w:sz="0" w:space="0" w:color="auto"/>
            <w:left w:val="none" w:sz="0" w:space="0" w:color="auto"/>
            <w:bottom w:val="none" w:sz="0" w:space="0" w:color="auto"/>
            <w:right w:val="none" w:sz="0" w:space="0" w:color="auto"/>
          </w:divBdr>
          <w:divsChild>
            <w:div w:id="1065224468">
              <w:marLeft w:val="0"/>
              <w:marRight w:val="0"/>
              <w:marTop w:val="0"/>
              <w:marBottom w:val="0"/>
              <w:divBdr>
                <w:top w:val="none" w:sz="0" w:space="0" w:color="auto"/>
                <w:left w:val="none" w:sz="0" w:space="0" w:color="auto"/>
                <w:bottom w:val="none" w:sz="0" w:space="0" w:color="auto"/>
                <w:right w:val="none" w:sz="0" w:space="0" w:color="auto"/>
              </w:divBdr>
              <w:divsChild>
                <w:div w:id="448281469">
                  <w:marLeft w:val="0"/>
                  <w:marRight w:val="0"/>
                  <w:marTop w:val="0"/>
                  <w:marBottom w:val="0"/>
                  <w:divBdr>
                    <w:top w:val="none" w:sz="0" w:space="0" w:color="auto"/>
                    <w:left w:val="none" w:sz="0" w:space="0" w:color="auto"/>
                    <w:bottom w:val="none" w:sz="0" w:space="0" w:color="auto"/>
                    <w:right w:val="none" w:sz="0" w:space="0" w:color="auto"/>
                  </w:divBdr>
                </w:div>
              </w:divsChild>
            </w:div>
            <w:div w:id="429397705">
              <w:marLeft w:val="0"/>
              <w:marRight w:val="0"/>
              <w:marTop w:val="0"/>
              <w:marBottom w:val="0"/>
              <w:divBdr>
                <w:top w:val="none" w:sz="0" w:space="0" w:color="auto"/>
                <w:left w:val="none" w:sz="0" w:space="0" w:color="auto"/>
                <w:bottom w:val="none" w:sz="0" w:space="0" w:color="auto"/>
                <w:right w:val="none" w:sz="0" w:space="0" w:color="auto"/>
              </w:divBdr>
              <w:divsChild>
                <w:div w:id="1432313576">
                  <w:marLeft w:val="0"/>
                  <w:marRight w:val="0"/>
                  <w:marTop w:val="0"/>
                  <w:marBottom w:val="0"/>
                  <w:divBdr>
                    <w:top w:val="none" w:sz="0" w:space="0" w:color="auto"/>
                    <w:left w:val="none" w:sz="0" w:space="0" w:color="auto"/>
                    <w:bottom w:val="none" w:sz="0" w:space="0" w:color="auto"/>
                    <w:right w:val="none" w:sz="0" w:space="0" w:color="auto"/>
                  </w:divBdr>
                  <w:divsChild>
                    <w:div w:id="1488204973">
                      <w:marLeft w:val="0"/>
                      <w:marRight w:val="0"/>
                      <w:marTop w:val="0"/>
                      <w:marBottom w:val="0"/>
                      <w:divBdr>
                        <w:top w:val="none" w:sz="0" w:space="0" w:color="auto"/>
                        <w:left w:val="none" w:sz="0" w:space="0" w:color="auto"/>
                        <w:bottom w:val="none" w:sz="0" w:space="0" w:color="auto"/>
                        <w:right w:val="none" w:sz="0" w:space="0" w:color="auto"/>
                      </w:divBdr>
                    </w:div>
                  </w:divsChild>
                </w:div>
                <w:div w:id="1099132248">
                  <w:marLeft w:val="0"/>
                  <w:marRight w:val="0"/>
                  <w:marTop w:val="0"/>
                  <w:marBottom w:val="0"/>
                  <w:divBdr>
                    <w:top w:val="none" w:sz="0" w:space="0" w:color="auto"/>
                    <w:left w:val="none" w:sz="0" w:space="0" w:color="auto"/>
                    <w:bottom w:val="none" w:sz="0" w:space="0" w:color="auto"/>
                    <w:right w:val="none" w:sz="0" w:space="0" w:color="auto"/>
                  </w:divBdr>
                  <w:divsChild>
                    <w:div w:id="59058180">
                      <w:marLeft w:val="0"/>
                      <w:marRight w:val="0"/>
                      <w:marTop w:val="0"/>
                      <w:marBottom w:val="0"/>
                      <w:divBdr>
                        <w:top w:val="none" w:sz="0" w:space="0" w:color="auto"/>
                        <w:left w:val="none" w:sz="0" w:space="0" w:color="auto"/>
                        <w:bottom w:val="none" w:sz="0" w:space="0" w:color="auto"/>
                        <w:right w:val="none" w:sz="0" w:space="0" w:color="auto"/>
                      </w:divBdr>
                    </w:div>
                  </w:divsChild>
                </w:div>
                <w:div w:id="1063258881">
                  <w:marLeft w:val="0"/>
                  <w:marRight w:val="0"/>
                  <w:marTop w:val="0"/>
                  <w:marBottom w:val="0"/>
                  <w:divBdr>
                    <w:top w:val="none" w:sz="0" w:space="0" w:color="auto"/>
                    <w:left w:val="none" w:sz="0" w:space="0" w:color="auto"/>
                    <w:bottom w:val="none" w:sz="0" w:space="0" w:color="auto"/>
                    <w:right w:val="none" w:sz="0" w:space="0" w:color="auto"/>
                  </w:divBdr>
                  <w:divsChild>
                    <w:div w:id="13463848">
                      <w:marLeft w:val="0"/>
                      <w:marRight w:val="0"/>
                      <w:marTop w:val="0"/>
                      <w:marBottom w:val="0"/>
                      <w:divBdr>
                        <w:top w:val="none" w:sz="0" w:space="0" w:color="auto"/>
                        <w:left w:val="none" w:sz="0" w:space="0" w:color="auto"/>
                        <w:bottom w:val="none" w:sz="0" w:space="0" w:color="auto"/>
                        <w:right w:val="none" w:sz="0" w:space="0" w:color="auto"/>
                      </w:divBdr>
                    </w:div>
                  </w:divsChild>
                </w:div>
                <w:div w:id="737244642">
                  <w:marLeft w:val="0"/>
                  <w:marRight w:val="0"/>
                  <w:marTop w:val="0"/>
                  <w:marBottom w:val="0"/>
                  <w:divBdr>
                    <w:top w:val="none" w:sz="0" w:space="0" w:color="auto"/>
                    <w:left w:val="none" w:sz="0" w:space="0" w:color="auto"/>
                    <w:bottom w:val="none" w:sz="0" w:space="0" w:color="auto"/>
                    <w:right w:val="none" w:sz="0" w:space="0" w:color="auto"/>
                  </w:divBdr>
                  <w:divsChild>
                    <w:div w:id="757362316">
                      <w:marLeft w:val="0"/>
                      <w:marRight w:val="0"/>
                      <w:marTop w:val="0"/>
                      <w:marBottom w:val="0"/>
                      <w:divBdr>
                        <w:top w:val="none" w:sz="0" w:space="0" w:color="auto"/>
                        <w:left w:val="none" w:sz="0" w:space="0" w:color="auto"/>
                        <w:bottom w:val="none" w:sz="0" w:space="0" w:color="auto"/>
                        <w:right w:val="none" w:sz="0" w:space="0" w:color="auto"/>
                      </w:divBdr>
                    </w:div>
                  </w:divsChild>
                </w:div>
                <w:div w:id="489561151">
                  <w:marLeft w:val="0"/>
                  <w:marRight w:val="0"/>
                  <w:marTop w:val="0"/>
                  <w:marBottom w:val="0"/>
                  <w:divBdr>
                    <w:top w:val="none" w:sz="0" w:space="0" w:color="auto"/>
                    <w:left w:val="none" w:sz="0" w:space="0" w:color="auto"/>
                    <w:bottom w:val="none" w:sz="0" w:space="0" w:color="auto"/>
                    <w:right w:val="none" w:sz="0" w:space="0" w:color="auto"/>
                  </w:divBdr>
                  <w:divsChild>
                    <w:div w:id="2026057572">
                      <w:marLeft w:val="0"/>
                      <w:marRight w:val="0"/>
                      <w:marTop w:val="0"/>
                      <w:marBottom w:val="0"/>
                      <w:divBdr>
                        <w:top w:val="none" w:sz="0" w:space="0" w:color="auto"/>
                        <w:left w:val="none" w:sz="0" w:space="0" w:color="auto"/>
                        <w:bottom w:val="none" w:sz="0" w:space="0" w:color="auto"/>
                        <w:right w:val="none" w:sz="0" w:space="0" w:color="auto"/>
                      </w:divBdr>
                    </w:div>
                  </w:divsChild>
                </w:div>
                <w:div w:id="1708144689">
                  <w:marLeft w:val="0"/>
                  <w:marRight w:val="0"/>
                  <w:marTop w:val="0"/>
                  <w:marBottom w:val="0"/>
                  <w:divBdr>
                    <w:top w:val="none" w:sz="0" w:space="0" w:color="auto"/>
                    <w:left w:val="none" w:sz="0" w:space="0" w:color="auto"/>
                    <w:bottom w:val="none" w:sz="0" w:space="0" w:color="auto"/>
                    <w:right w:val="none" w:sz="0" w:space="0" w:color="auto"/>
                  </w:divBdr>
                  <w:divsChild>
                    <w:div w:id="857624217">
                      <w:marLeft w:val="0"/>
                      <w:marRight w:val="0"/>
                      <w:marTop w:val="0"/>
                      <w:marBottom w:val="0"/>
                      <w:divBdr>
                        <w:top w:val="none" w:sz="0" w:space="0" w:color="auto"/>
                        <w:left w:val="none" w:sz="0" w:space="0" w:color="auto"/>
                        <w:bottom w:val="none" w:sz="0" w:space="0" w:color="auto"/>
                        <w:right w:val="none" w:sz="0" w:space="0" w:color="auto"/>
                      </w:divBdr>
                    </w:div>
                  </w:divsChild>
                </w:div>
                <w:div w:id="358818994">
                  <w:marLeft w:val="0"/>
                  <w:marRight w:val="0"/>
                  <w:marTop w:val="0"/>
                  <w:marBottom w:val="0"/>
                  <w:divBdr>
                    <w:top w:val="none" w:sz="0" w:space="0" w:color="auto"/>
                    <w:left w:val="none" w:sz="0" w:space="0" w:color="auto"/>
                    <w:bottom w:val="none" w:sz="0" w:space="0" w:color="auto"/>
                    <w:right w:val="none" w:sz="0" w:space="0" w:color="auto"/>
                  </w:divBdr>
                  <w:divsChild>
                    <w:div w:id="1145122413">
                      <w:marLeft w:val="0"/>
                      <w:marRight w:val="0"/>
                      <w:marTop w:val="0"/>
                      <w:marBottom w:val="0"/>
                      <w:divBdr>
                        <w:top w:val="none" w:sz="0" w:space="0" w:color="auto"/>
                        <w:left w:val="none" w:sz="0" w:space="0" w:color="auto"/>
                        <w:bottom w:val="none" w:sz="0" w:space="0" w:color="auto"/>
                        <w:right w:val="none" w:sz="0" w:space="0" w:color="auto"/>
                      </w:divBdr>
                    </w:div>
                  </w:divsChild>
                </w:div>
                <w:div w:id="216866334">
                  <w:marLeft w:val="0"/>
                  <w:marRight w:val="0"/>
                  <w:marTop w:val="0"/>
                  <w:marBottom w:val="0"/>
                  <w:divBdr>
                    <w:top w:val="none" w:sz="0" w:space="0" w:color="auto"/>
                    <w:left w:val="none" w:sz="0" w:space="0" w:color="auto"/>
                    <w:bottom w:val="none" w:sz="0" w:space="0" w:color="auto"/>
                    <w:right w:val="none" w:sz="0" w:space="0" w:color="auto"/>
                  </w:divBdr>
                  <w:divsChild>
                    <w:div w:id="1503743682">
                      <w:marLeft w:val="0"/>
                      <w:marRight w:val="0"/>
                      <w:marTop w:val="0"/>
                      <w:marBottom w:val="0"/>
                      <w:divBdr>
                        <w:top w:val="none" w:sz="0" w:space="0" w:color="auto"/>
                        <w:left w:val="none" w:sz="0" w:space="0" w:color="auto"/>
                        <w:bottom w:val="none" w:sz="0" w:space="0" w:color="auto"/>
                        <w:right w:val="none" w:sz="0" w:space="0" w:color="auto"/>
                      </w:divBdr>
                    </w:div>
                  </w:divsChild>
                </w:div>
                <w:div w:id="1427848168">
                  <w:marLeft w:val="0"/>
                  <w:marRight w:val="0"/>
                  <w:marTop w:val="0"/>
                  <w:marBottom w:val="0"/>
                  <w:divBdr>
                    <w:top w:val="none" w:sz="0" w:space="0" w:color="auto"/>
                    <w:left w:val="none" w:sz="0" w:space="0" w:color="auto"/>
                    <w:bottom w:val="none" w:sz="0" w:space="0" w:color="auto"/>
                    <w:right w:val="none" w:sz="0" w:space="0" w:color="auto"/>
                  </w:divBdr>
                  <w:divsChild>
                    <w:div w:id="2014599163">
                      <w:marLeft w:val="0"/>
                      <w:marRight w:val="0"/>
                      <w:marTop w:val="0"/>
                      <w:marBottom w:val="0"/>
                      <w:divBdr>
                        <w:top w:val="none" w:sz="0" w:space="0" w:color="auto"/>
                        <w:left w:val="none" w:sz="0" w:space="0" w:color="auto"/>
                        <w:bottom w:val="none" w:sz="0" w:space="0" w:color="auto"/>
                        <w:right w:val="none" w:sz="0" w:space="0" w:color="auto"/>
                      </w:divBdr>
                    </w:div>
                  </w:divsChild>
                </w:div>
                <w:div w:id="1447310375">
                  <w:marLeft w:val="0"/>
                  <w:marRight w:val="0"/>
                  <w:marTop w:val="0"/>
                  <w:marBottom w:val="0"/>
                  <w:divBdr>
                    <w:top w:val="none" w:sz="0" w:space="0" w:color="auto"/>
                    <w:left w:val="none" w:sz="0" w:space="0" w:color="auto"/>
                    <w:bottom w:val="none" w:sz="0" w:space="0" w:color="auto"/>
                    <w:right w:val="none" w:sz="0" w:space="0" w:color="auto"/>
                  </w:divBdr>
                  <w:divsChild>
                    <w:div w:id="1004938328">
                      <w:marLeft w:val="0"/>
                      <w:marRight w:val="0"/>
                      <w:marTop w:val="0"/>
                      <w:marBottom w:val="0"/>
                      <w:divBdr>
                        <w:top w:val="none" w:sz="0" w:space="0" w:color="auto"/>
                        <w:left w:val="none" w:sz="0" w:space="0" w:color="auto"/>
                        <w:bottom w:val="none" w:sz="0" w:space="0" w:color="auto"/>
                        <w:right w:val="none" w:sz="0" w:space="0" w:color="auto"/>
                      </w:divBdr>
                    </w:div>
                  </w:divsChild>
                </w:div>
                <w:div w:id="674962936">
                  <w:marLeft w:val="0"/>
                  <w:marRight w:val="0"/>
                  <w:marTop w:val="0"/>
                  <w:marBottom w:val="0"/>
                  <w:divBdr>
                    <w:top w:val="none" w:sz="0" w:space="0" w:color="auto"/>
                    <w:left w:val="none" w:sz="0" w:space="0" w:color="auto"/>
                    <w:bottom w:val="none" w:sz="0" w:space="0" w:color="auto"/>
                    <w:right w:val="none" w:sz="0" w:space="0" w:color="auto"/>
                  </w:divBdr>
                  <w:divsChild>
                    <w:div w:id="1566723449">
                      <w:marLeft w:val="0"/>
                      <w:marRight w:val="0"/>
                      <w:marTop w:val="0"/>
                      <w:marBottom w:val="0"/>
                      <w:divBdr>
                        <w:top w:val="none" w:sz="0" w:space="0" w:color="auto"/>
                        <w:left w:val="none" w:sz="0" w:space="0" w:color="auto"/>
                        <w:bottom w:val="none" w:sz="0" w:space="0" w:color="auto"/>
                        <w:right w:val="none" w:sz="0" w:space="0" w:color="auto"/>
                      </w:divBdr>
                    </w:div>
                  </w:divsChild>
                </w:div>
                <w:div w:id="959917191">
                  <w:marLeft w:val="0"/>
                  <w:marRight w:val="0"/>
                  <w:marTop w:val="0"/>
                  <w:marBottom w:val="0"/>
                  <w:divBdr>
                    <w:top w:val="none" w:sz="0" w:space="0" w:color="auto"/>
                    <w:left w:val="none" w:sz="0" w:space="0" w:color="auto"/>
                    <w:bottom w:val="none" w:sz="0" w:space="0" w:color="auto"/>
                    <w:right w:val="none" w:sz="0" w:space="0" w:color="auto"/>
                  </w:divBdr>
                  <w:divsChild>
                    <w:div w:id="1054814666">
                      <w:marLeft w:val="0"/>
                      <w:marRight w:val="0"/>
                      <w:marTop w:val="0"/>
                      <w:marBottom w:val="0"/>
                      <w:divBdr>
                        <w:top w:val="none" w:sz="0" w:space="0" w:color="auto"/>
                        <w:left w:val="none" w:sz="0" w:space="0" w:color="auto"/>
                        <w:bottom w:val="none" w:sz="0" w:space="0" w:color="auto"/>
                        <w:right w:val="none" w:sz="0" w:space="0" w:color="auto"/>
                      </w:divBdr>
                    </w:div>
                  </w:divsChild>
                </w:div>
                <w:div w:id="1026904669">
                  <w:marLeft w:val="0"/>
                  <w:marRight w:val="0"/>
                  <w:marTop w:val="0"/>
                  <w:marBottom w:val="0"/>
                  <w:divBdr>
                    <w:top w:val="none" w:sz="0" w:space="0" w:color="auto"/>
                    <w:left w:val="none" w:sz="0" w:space="0" w:color="auto"/>
                    <w:bottom w:val="none" w:sz="0" w:space="0" w:color="auto"/>
                    <w:right w:val="none" w:sz="0" w:space="0" w:color="auto"/>
                  </w:divBdr>
                  <w:divsChild>
                    <w:div w:id="1466662482">
                      <w:marLeft w:val="0"/>
                      <w:marRight w:val="0"/>
                      <w:marTop w:val="0"/>
                      <w:marBottom w:val="0"/>
                      <w:divBdr>
                        <w:top w:val="none" w:sz="0" w:space="0" w:color="auto"/>
                        <w:left w:val="none" w:sz="0" w:space="0" w:color="auto"/>
                        <w:bottom w:val="none" w:sz="0" w:space="0" w:color="auto"/>
                        <w:right w:val="none" w:sz="0" w:space="0" w:color="auto"/>
                      </w:divBdr>
                    </w:div>
                  </w:divsChild>
                </w:div>
                <w:div w:id="648948373">
                  <w:marLeft w:val="0"/>
                  <w:marRight w:val="0"/>
                  <w:marTop w:val="0"/>
                  <w:marBottom w:val="0"/>
                  <w:divBdr>
                    <w:top w:val="none" w:sz="0" w:space="0" w:color="auto"/>
                    <w:left w:val="none" w:sz="0" w:space="0" w:color="auto"/>
                    <w:bottom w:val="none" w:sz="0" w:space="0" w:color="auto"/>
                    <w:right w:val="none" w:sz="0" w:space="0" w:color="auto"/>
                  </w:divBdr>
                  <w:divsChild>
                    <w:div w:id="1214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768822">
      <w:bodyDiv w:val="1"/>
      <w:marLeft w:val="0"/>
      <w:marRight w:val="0"/>
      <w:marTop w:val="0"/>
      <w:marBottom w:val="0"/>
      <w:divBdr>
        <w:top w:val="none" w:sz="0" w:space="0" w:color="auto"/>
        <w:left w:val="none" w:sz="0" w:space="0" w:color="auto"/>
        <w:bottom w:val="none" w:sz="0" w:space="0" w:color="auto"/>
        <w:right w:val="none" w:sz="0" w:space="0" w:color="auto"/>
      </w:divBdr>
      <w:divsChild>
        <w:div w:id="1793671286">
          <w:marLeft w:val="0"/>
          <w:marRight w:val="0"/>
          <w:marTop w:val="0"/>
          <w:marBottom w:val="0"/>
          <w:divBdr>
            <w:top w:val="none" w:sz="0" w:space="0" w:color="auto"/>
            <w:left w:val="none" w:sz="0" w:space="0" w:color="auto"/>
            <w:bottom w:val="none" w:sz="0" w:space="0" w:color="auto"/>
            <w:right w:val="none" w:sz="0" w:space="0" w:color="auto"/>
          </w:divBdr>
          <w:divsChild>
            <w:div w:id="872033272">
              <w:marLeft w:val="0"/>
              <w:marRight w:val="0"/>
              <w:marTop w:val="0"/>
              <w:marBottom w:val="0"/>
              <w:divBdr>
                <w:top w:val="none" w:sz="0" w:space="0" w:color="auto"/>
                <w:left w:val="none" w:sz="0" w:space="0" w:color="auto"/>
                <w:bottom w:val="none" w:sz="0" w:space="0" w:color="auto"/>
                <w:right w:val="none" w:sz="0" w:space="0" w:color="auto"/>
              </w:divBdr>
              <w:divsChild>
                <w:div w:id="1285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www.keene.edu/administration/mission/" TargetMode="External"/><Relationship Id="rId2" Type="http://schemas.openxmlformats.org/officeDocument/2006/relationships/hyperlink" Target="https://www.keene.edu/academics/fe/" TargetMode="External"/><Relationship Id="rId1" Type="http://schemas.openxmlformats.org/officeDocument/2006/relationships/hyperlink" Target="https://www.keene.edu/administration/policy/detail/faculty-handbook/download/" TargetMode="External"/><Relationship Id="rId4" Type="http://schemas.openxmlformats.org/officeDocument/2006/relationships/hyperlink" Target="http://www.aacu.org/leap/hip.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3AF555862511D4FA1136D76AB947798" ma:contentTypeVersion="9" ma:contentTypeDescription="Create a new document." ma:contentTypeScope="" ma:versionID="d5cf79bf32f55ff9924e6b4593c8beb1">
  <xsd:schema xmlns:xsd="http://www.w3.org/2001/XMLSchema" xmlns:xs="http://www.w3.org/2001/XMLSchema" xmlns:p="http://schemas.microsoft.com/office/2006/metadata/properties" xmlns:ns2="5f7ea68d-e6c0-40a0-aac0-64055cfe74d7" targetNamespace="http://schemas.microsoft.com/office/2006/metadata/properties" ma:root="true" ma:fieldsID="cf7b9979afc6853ccdd89fd04cab4351" ns2:_="">
    <xsd:import namespace="5f7ea68d-e6c0-40a0-aac0-64055cfe74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ea68d-e6c0-40a0-aac0-64055cfe7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7328B7-8768-4D63-9BB8-D0D253E18380}">
  <ds:schemaRefs>
    <ds:schemaRef ds:uri="http://schemas.openxmlformats.org/officeDocument/2006/bibliography"/>
  </ds:schemaRefs>
</ds:datastoreItem>
</file>

<file path=customXml/itemProps2.xml><?xml version="1.0" encoding="utf-8"?>
<ds:datastoreItem xmlns:ds="http://schemas.openxmlformats.org/officeDocument/2006/customXml" ds:itemID="{B10A9C20-ECBA-4636-9EC5-F51359A5EB13}"/>
</file>

<file path=customXml/itemProps3.xml><?xml version="1.0" encoding="utf-8"?>
<ds:datastoreItem xmlns:ds="http://schemas.openxmlformats.org/officeDocument/2006/customXml" ds:itemID="{31FA044B-DDFA-4E81-A1CC-0608E77B6222}"/>
</file>

<file path=customXml/itemProps4.xml><?xml version="1.0" encoding="utf-8"?>
<ds:datastoreItem xmlns:ds="http://schemas.openxmlformats.org/officeDocument/2006/customXml" ds:itemID="{99D9C3F0-6CB7-4B9E-A7CB-83ADE0379658}"/>
</file>

<file path=docProps/app.xml><?xml version="1.0" encoding="utf-8"?>
<Properties xmlns="http://schemas.openxmlformats.org/officeDocument/2006/extended-properties" xmlns:vt="http://schemas.openxmlformats.org/officeDocument/2006/docPropsVTypes">
  <Template>Normal</Template>
  <TotalTime>1</TotalTime>
  <Pages>6</Pages>
  <Words>1750</Words>
  <Characters>9975</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Keene State College</Company>
  <LinksUpToDate>false</LinksUpToDate>
  <CharactersWithSpaces>11702</CharactersWithSpaces>
  <SharedDoc>false</SharedDoc>
  <HLinks>
    <vt:vector size="24" baseType="variant">
      <vt:variant>
        <vt:i4>5832783</vt:i4>
      </vt:variant>
      <vt:variant>
        <vt:i4>9</vt:i4>
      </vt:variant>
      <vt:variant>
        <vt:i4>0</vt:i4>
      </vt:variant>
      <vt:variant>
        <vt:i4>5</vt:i4>
      </vt:variant>
      <vt:variant>
        <vt:lpwstr>http://www.aacu.org/leap/hip.cfm</vt:lpwstr>
      </vt:variant>
      <vt:variant>
        <vt:lpwstr/>
      </vt:variant>
      <vt:variant>
        <vt:i4>4784153</vt:i4>
      </vt:variant>
      <vt:variant>
        <vt:i4>6</vt:i4>
      </vt:variant>
      <vt:variant>
        <vt:i4>0</vt:i4>
      </vt:variant>
      <vt:variant>
        <vt:i4>5</vt:i4>
      </vt:variant>
      <vt:variant>
        <vt:lpwstr>https://www.keene.edu/administration/mission/</vt:lpwstr>
      </vt:variant>
      <vt:variant>
        <vt:lpwstr/>
      </vt:variant>
      <vt:variant>
        <vt:i4>6619170</vt:i4>
      </vt:variant>
      <vt:variant>
        <vt:i4>3</vt:i4>
      </vt:variant>
      <vt:variant>
        <vt:i4>0</vt:i4>
      </vt:variant>
      <vt:variant>
        <vt:i4>5</vt:i4>
      </vt:variant>
      <vt:variant>
        <vt:lpwstr>https://www.keene.edu/academics/fe/</vt:lpwstr>
      </vt:variant>
      <vt:variant>
        <vt:lpwstr/>
      </vt:variant>
      <vt:variant>
        <vt:i4>5636119</vt:i4>
      </vt:variant>
      <vt:variant>
        <vt:i4>0</vt:i4>
      </vt:variant>
      <vt:variant>
        <vt:i4>0</vt:i4>
      </vt:variant>
      <vt:variant>
        <vt:i4>5</vt:i4>
      </vt:variant>
      <vt:variant>
        <vt:lpwstr>https://www.keene.edu/administration/policy/detail/faculty-handbook/download/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cp:lastModifiedBy>Kim Harkness</cp:lastModifiedBy>
  <cp:revision>2</cp:revision>
  <dcterms:created xsi:type="dcterms:W3CDTF">2024-01-31T16:47:00Z</dcterms:created>
  <dcterms:modified xsi:type="dcterms:W3CDTF">2024-01-31T16:47:00Z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0x010100A3AF555862511D4FA1136D76AB947798</vt:lpwstr>
  </property>
</Properties>
</file>