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9C0" w:rsidRPr="002F03A4" w:rsidRDefault="000509C0" w:rsidP="000509C0">
      <w:pPr>
        <w:pStyle w:val="ListParagraph"/>
        <w:spacing w:after="0"/>
        <w:ind w:left="0"/>
        <w:jc w:val="center"/>
        <w:rPr>
          <w:rFonts w:ascii="Times New Roman" w:hAnsi="Times New Roman"/>
          <w:b/>
        </w:rPr>
      </w:pPr>
      <w:bookmarkStart w:id="0" w:name="_GoBack"/>
      <w:bookmarkEnd w:id="0"/>
      <w:r w:rsidRPr="002F03A4">
        <w:rPr>
          <w:rFonts w:ascii="Times New Roman" w:hAnsi="Times New Roman"/>
          <w:b/>
        </w:rPr>
        <w:t>Promotion and Tenure File</w:t>
      </w:r>
    </w:p>
    <w:p w:rsidR="000509C0" w:rsidRPr="002F03A4" w:rsidRDefault="000509C0" w:rsidP="000509C0">
      <w:pPr>
        <w:pStyle w:val="ListParagraph"/>
        <w:spacing w:after="0"/>
        <w:ind w:left="1440"/>
        <w:jc w:val="center"/>
        <w:rPr>
          <w:rFonts w:ascii="Times New Roman" w:hAnsi="Times New Roman"/>
        </w:rPr>
      </w:pPr>
    </w:p>
    <w:p w:rsidR="005A3401" w:rsidRPr="002F03A4" w:rsidRDefault="000509C0" w:rsidP="000509C0">
      <w:pPr>
        <w:spacing w:after="0"/>
        <w:rPr>
          <w:rFonts w:ascii="Times New Roman" w:hAnsi="Times New Roman"/>
        </w:rPr>
      </w:pPr>
      <w:r w:rsidRPr="002F03A4">
        <w:rPr>
          <w:rFonts w:ascii="Times New Roman" w:hAnsi="Times New Roman"/>
        </w:rPr>
        <w:t>Candidates are responsible for the preparation of promotion and tenure files. Evaluation will be based on the contents of the file. Care should be exercised to ensure the file’s</w:t>
      </w:r>
      <w:r w:rsidR="00782C23" w:rsidRPr="002F03A4">
        <w:rPr>
          <w:rFonts w:ascii="Times New Roman" w:hAnsi="Times New Roman"/>
        </w:rPr>
        <w:t xml:space="preserve"> accurate representation of the candidate’s</w:t>
      </w:r>
      <w:r w:rsidRPr="002F03A4">
        <w:rPr>
          <w:rFonts w:ascii="Times New Roman" w:hAnsi="Times New Roman"/>
        </w:rPr>
        <w:t xml:space="preserve"> professional activ</w:t>
      </w:r>
      <w:r w:rsidR="00782C23" w:rsidRPr="002F03A4">
        <w:rPr>
          <w:rFonts w:ascii="Times New Roman" w:hAnsi="Times New Roman"/>
        </w:rPr>
        <w:t>ities and achievements.  A</w:t>
      </w:r>
      <w:r w:rsidRPr="002F03A4">
        <w:rPr>
          <w:rFonts w:ascii="Times New Roman" w:hAnsi="Times New Roman"/>
        </w:rPr>
        <w:t>ll ma</w:t>
      </w:r>
      <w:r w:rsidR="00782C23" w:rsidRPr="002F03A4">
        <w:rPr>
          <w:rFonts w:ascii="Times New Roman" w:hAnsi="Times New Roman"/>
        </w:rPr>
        <w:t xml:space="preserve">terials and documentation will </w:t>
      </w:r>
      <w:r w:rsidRPr="002F03A4">
        <w:rPr>
          <w:rFonts w:ascii="Times New Roman" w:hAnsi="Times New Roman"/>
        </w:rPr>
        <w:t>be in one three-ring notebook</w:t>
      </w:r>
      <w:r w:rsidR="005A3401" w:rsidRPr="002F03A4">
        <w:rPr>
          <w:rFonts w:ascii="Times New Roman" w:hAnsi="Times New Roman"/>
        </w:rPr>
        <w:t xml:space="preserve"> </w:t>
      </w:r>
      <w:r w:rsidR="002F03A4">
        <w:rPr>
          <w:rFonts w:ascii="Times New Roman" w:hAnsi="Times New Roman"/>
        </w:rPr>
        <w:t>(no larger than 3</w:t>
      </w:r>
      <w:r w:rsidR="005A3401" w:rsidRPr="002F03A4">
        <w:rPr>
          <w:rFonts w:ascii="Times New Roman" w:hAnsi="Times New Roman"/>
        </w:rPr>
        <w:t>” in size)</w:t>
      </w:r>
      <w:r w:rsidRPr="002F03A4">
        <w:rPr>
          <w:rFonts w:ascii="Times New Roman" w:hAnsi="Times New Roman"/>
        </w:rPr>
        <w:t xml:space="preserve">, and all student </w:t>
      </w:r>
      <w:r w:rsidR="005A3401" w:rsidRPr="002F03A4">
        <w:rPr>
          <w:rFonts w:ascii="Times New Roman" w:hAnsi="Times New Roman"/>
        </w:rPr>
        <w:t xml:space="preserve">course </w:t>
      </w:r>
      <w:r w:rsidRPr="002F03A4">
        <w:rPr>
          <w:rFonts w:ascii="Times New Roman" w:hAnsi="Times New Roman"/>
        </w:rPr>
        <w:t xml:space="preserve">evaluations would be in a second notebook. Supporting evidence for tenure shall cover the entire period since the candidate’s appointment to a tenure-track position. Supporting evidence for promotion shall cover the entire period since the previous promotion. In the case of a </w:t>
      </w:r>
      <w:r w:rsidR="00782C23" w:rsidRPr="002F03A4">
        <w:rPr>
          <w:rFonts w:ascii="Times New Roman" w:hAnsi="Times New Roman"/>
        </w:rPr>
        <w:t>candidate</w:t>
      </w:r>
      <w:r w:rsidRPr="002F03A4">
        <w:rPr>
          <w:rFonts w:ascii="Times New Roman" w:hAnsi="Times New Roman"/>
        </w:rPr>
        <w:t xml:space="preserve"> who wishes to cite performance at previous institution(s), the </w:t>
      </w:r>
      <w:r w:rsidR="00782C23" w:rsidRPr="002F03A4">
        <w:rPr>
          <w:rFonts w:ascii="Times New Roman" w:hAnsi="Times New Roman"/>
        </w:rPr>
        <w:t>candidate</w:t>
      </w:r>
      <w:r w:rsidRPr="002F03A4">
        <w:rPr>
          <w:rFonts w:ascii="Times New Roman" w:hAnsi="Times New Roman"/>
        </w:rPr>
        <w:t xml:space="preserve"> should provide documentation of performance in all three categories for the period of service at those institutions. Those documents should be included in the file. </w:t>
      </w:r>
      <w:r w:rsidRPr="002F03A4">
        <w:rPr>
          <w:rFonts w:ascii="Times New Roman" w:hAnsi="Times New Roman"/>
          <w:b/>
        </w:rPr>
        <w:t xml:space="preserve">Supporting documentation should be submitted for all work. </w:t>
      </w:r>
      <w:r w:rsidRPr="002F03A4">
        <w:rPr>
          <w:rFonts w:ascii="Times New Roman" w:hAnsi="Times New Roman"/>
        </w:rPr>
        <w:t xml:space="preserve">Those who read a file may not be familiar with terminology, professional associations, journals, acronyms, certifications, and other language of your field. </w:t>
      </w:r>
      <w:r w:rsidR="00782C23" w:rsidRPr="002F03A4">
        <w:rPr>
          <w:rFonts w:ascii="Times New Roman" w:hAnsi="Times New Roman"/>
        </w:rPr>
        <w:t>The candidate should h</w:t>
      </w:r>
      <w:r w:rsidRPr="002F03A4">
        <w:rPr>
          <w:rFonts w:ascii="Times New Roman" w:hAnsi="Times New Roman"/>
        </w:rPr>
        <w:t>e</w:t>
      </w:r>
      <w:r w:rsidR="00782C23" w:rsidRPr="002F03A4">
        <w:rPr>
          <w:rFonts w:ascii="Times New Roman" w:hAnsi="Times New Roman"/>
        </w:rPr>
        <w:t>lp these readers understand the</w:t>
      </w:r>
      <w:r w:rsidRPr="002F03A4">
        <w:rPr>
          <w:rFonts w:ascii="Times New Roman" w:hAnsi="Times New Roman"/>
        </w:rPr>
        <w:t xml:space="preserve"> professional competence</w:t>
      </w:r>
      <w:r w:rsidR="00782C23" w:rsidRPr="002F03A4">
        <w:rPr>
          <w:rFonts w:ascii="Times New Roman" w:hAnsi="Times New Roman"/>
        </w:rPr>
        <w:t>s</w:t>
      </w:r>
      <w:r w:rsidRPr="002F03A4">
        <w:rPr>
          <w:rFonts w:ascii="Times New Roman" w:hAnsi="Times New Roman"/>
        </w:rPr>
        <w:t xml:space="preserve"> and achievements </w:t>
      </w:r>
      <w:r w:rsidR="005B045C" w:rsidRPr="002F03A4">
        <w:rPr>
          <w:rFonts w:ascii="Times New Roman" w:hAnsi="Times New Roman"/>
        </w:rPr>
        <w:t>of the candidate’s</w:t>
      </w:r>
      <w:r w:rsidRPr="002F03A4">
        <w:rPr>
          <w:rFonts w:ascii="Times New Roman" w:hAnsi="Times New Roman"/>
        </w:rPr>
        <w:t xml:space="preserve"> field. </w:t>
      </w:r>
    </w:p>
    <w:p w:rsidR="005A3401" w:rsidRPr="002F03A4" w:rsidRDefault="005A3401" w:rsidP="000509C0">
      <w:pPr>
        <w:spacing w:after="0"/>
        <w:rPr>
          <w:rFonts w:ascii="Times New Roman" w:hAnsi="Times New Roman"/>
        </w:rPr>
      </w:pPr>
    </w:p>
    <w:p w:rsidR="000509C0" w:rsidRPr="002F03A4" w:rsidRDefault="005A3401" w:rsidP="000509C0">
      <w:pPr>
        <w:spacing w:after="0"/>
        <w:rPr>
          <w:rFonts w:ascii="Times New Roman" w:hAnsi="Times New Roman"/>
          <w:b/>
          <w:i/>
        </w:rPr>
      </w:pPr>
      <w:r w:rsidRPr="002F03A4">
        <w:rPr>
          <w:rFonts w:ascii="Times New Roman" w:hAnsi="Times New Roman"/>
          <w:b/>
          <w:i/>
        </w:rPr>
        <w:t>The following is a list of</w:t>
      </w:r>
      <w:r w:rsidRPr="002F03A4">
        <w:rPr>
          <w:rFonts w:ascii="Times New Roman" w:hAnsi="Times New Roman"/>
        </w:rPr>
        <w:t xml:space="preserve"> </w:t>
      </w:r>
      <w:r w:rsidRPr="002F03A4">
        <w:rPr>
          <w:rFonts w:ascii="Times New Roman" w:hAnsi="Times New Roman"/>
          <w:b/>
          <w:i/>
        </w:rPr>
        <w:t>i</w:t>
      </w:r>
      <w:r w:rsidR="000509C0" w:rsidRPr="002F03A4">
        <w:rPr>
          <w:rFonts w:ascii="Times New Roman" w:hAnsi="Times New Roman"/>
          <w:b/>
          <w:i/>
        </w:rPr>
        <w:t xml:space="preserve">tems that MUST be included in a promotion and tenure </w:t>
      </w:r>
      <w:r w:rsidR="00782C23" w:rsidRPr="002F03A4">
        <w:rPr>
          <w:rFonts w:ascii="Times New Roman" w:hAnsi="Times New Roman"/>
          <w:b/>
          <w:i/>
        </w:rPr>
        <w:t>file.</w:t>
      </w:r>
    </w:p>
    <w:p w:rsidR="000509C0" w:rsidRPr="002F03A4" w:rsidRDefault="000509C0" w:rsidP="000509C0">
      <w:pPr>
        <w:spacing w:after="0"/>
        <w:rPr>
          <w:rFonts w:ascii="Times New Roman" w:hAnsi="Times New Roman"/>
        </w:rPr>
      </w:pPr>
    </w:p>
    <w:p w:rsidR="00782C23" w:rsidRPr="002F03A4" w:rsidRDefault="00782C23" w:rsidP="00782C23">
      <w:pPr>
        <w:numPr>
          <w:ilvl w:val="0"/>
          <w:numId w:val="2"/>
        </w:numPr>
        <w:spacing w:after="0" w:line="240" w:lineRule="auto"/>
        <w:rPr>
          <w:rFonts w:ascii="Times New Roman" w:hAnsi="Times New Roman"/>
        </w:rPr>
      </w:pPr>
      <w:r w:rsidRPr="000C0A7C">
        <w:rPr>
          <w:rFonts w:ascii="Times New Roman" w:hAnsi="Times New Roman"/>
        </w:rPr>
        <w:t>Personnel File R</w:t>
      </w:r>
      <w:r w:rsidR="000509C0" w:rsidRPr="000C0A7C">
        <w:rPr>
          <w:rFonts w:ascii="Times New Roman" w:hAnsi="Times New Roman"/>
        </w:rPr>
        <w:t>elease</w:t>
      </w:r>
      <w:r w:rsidRPr="000C0A7C">
        <w:rPr>
          <w:rFonts w:ascii="Times New Roman" w:hAnsi="Times New Roman"/>
        </w:rPr>
        <w:t xml:space="preserve"> and Faculty Evaluation Advisory Committee (FEAC) Selection Form</w:t>
      </w:r>
      <w:r w:rsidRPr="002F03A4">
        <w:rPr>
          <w:rFonts w:ascii="Times New Roman" w:hAnsi="Times New Roman"/>
        </w:rPr>
        <w:t xml:space="preserve"> </w:t>
      </w:r>
    </w:p>
    <w:p w:rsidR="000509C0" w:rsidRPr="002F03A4" w:rsidRDefault="000509C0" w:rsidP="000509C0">
      <w:pPr>
        <w:numPr>
          <w:ilvl w:val="0"/>
          <w:numId w:val="2"/>
        </w:numPr>
        <w:spacing w:after="0" w:line="240" w:lineRule="auto"/>
        <w:rPr>
          <w:rFonts w:ascii="Times New Roman" w:hAnsi="Times New Roman"/>
        </w:rPr>
      </w:pPr>
      <w:r w:rsidRPr="000C0A7C">
        <w:rPr>
          <w:rFonts w:ascii="Times New Roman" w:hAnsi="Times New Roman"/>
        </w:rPr>
        <w:t>Personnel Data Summary</w:t>
      </w:r>
      <w:r w:rsidRPr="002F03A4">
        <w:rPr>
          <w:rFonts w:ascii="Times New Roman" w:hAnsi="Times New Roman"/>
        </w:rPr>
        <w:t xml:space="preserve"> </w:t>
      </w:r>
    </w:p>
    <w:p w:rsidR="000509C0" w:rsidRPr="002F03A4" w:rsidRDefault="000509C0" w:rsidP="000509C0">
      <w:pPr>
        <w:numPr>
          <w:ilvl w:val="0"/>
          <w:numId w:val="2"/>
        </w:numPr>
        <w:spacing w:after="0" w:line="240" w:lineRule="auto"/>
        <w:rPr>
          <w:rFonts w:ascii="Times New Roman" w:hAnsi="Times New Roman"/>
        </w:rPr>
      </w:pPr>
      <w:r w:rsidRPr="002F03A4">
        <w:rPr>
          <w:rFonts w:ascii="Times New Roman" w:hAnsi="Times New Roman"/>
        </w:rPr>
        <w:t>Professional identity statement (typically no longer than two pages). This is where a faculty member defines his or her perception of a professional role and identity. Within the limits of contractual job requirements, this</w:t>
      </w:r>
      <w:r w:rsidR="005B045C" w:rsidRPr="002F03A4">
        <w:rPr>
          <w:rFonts w:ascii="Times New Roman" w:hAnsi="Times New Roman"/>
        </w:rPr>
        <w:t xml:space="preserve"> statement</w:t>
      </w:r>
      <w:r w:rsidRPr="002F03A4">
        <w:rPr>
          <w:rFonts w:ascii="Times New Roman" w:hAnsi="Times New Roman"/>
        </w:rPr>
        <w:t xml:space="preserve"> permits the definition of professional role (who you are and what you do) and can help in framing the basis for evaluation. </w:t>
      </w:r>
    </w:p>
    <w:p w:rsidR="000509C0" w:rsidRPr="002F03A4" w:rsidRDefault="000509C0" w:rsidP="000509C0">
      <w:pPr>
        <w:numPr>
          <w:ilvl w:val="0"/>
          <w:numId w:val="2"/>
        </w:numPr>
        <w:spacing w:after="0" w:line="240" w:lineRule="auto"/>
        <w:rPr>
          <w:rFonts w:ascii="Times New Roman" w:hAnsi="Times New Roman"/>
        </w:rPr>
      </w:pPr>
      <w:r w:rsidRPr="002F03A4">
        <w:rPr>
          <w:rFonts w:ascii="Times New Roman" w:hAnsi="Times New Roman"/>
        </w:rPr>
        <w:t xml:space="preserve">Two copies of the candidate’s current DPEC letter (one left unpunched and placed inside the notebook as the first document); </w:t>
      </w:r>
      <w:r w:rsidRPr="002F03A4">
        <w:rPr>
          <w:rFonts w:ascii="Times New Roman" w:hAnsi="Times New Roman"/>
          <w:b/>
        </w:rPr>
        <w:t>all</w:t>
      </w:r>
      <w:r w:rsidRPr="002F03A4">
        <w:rPr>
          <w:rFonts w:ascii="Times New Roman" w:hAnsi="Times New Roman"/>
        </w:rPr>
        <w:t xml:space="preserve"> DPEC letters since the last personnel action. </w:t>
      </w:r>
    </w:p>
    <w:p w:rsidR="000509C0" w:rsidRPr="002F03A4" w:rsidRDefault="000509C0" w:rsidP="000509C0">
      <w:pPr>
        <w:numPr>
          <w:ilvl w:val="0"/>
          <w:numId w:val="2"/>
        </w:numPr>
        <w:spacing w:after="0" w:line="240" w:lineRule="auto"/>
        <w:rPr>
          <w:rFonts w:ascii="Times New Roman" w:hAnsi="Times New Roman"/>
        </w:rPr>
      </w:pPr>
      <w:r w:rsidRPr="002F03A4">
        <w:rPr>
          <w:rFonts w:ascii="Times New Roman" w:hAnsi="Times New Roman"/>
          <w:b/>
        </w:rPr>
        <w:t>All</w:t>
      </w:r>
      <w:r w:rsidRPr="002F03A4">
        <w:rPr>
          <w:rFonts w:ascii="Times New Roman" w:hAnsi="Times New Roman"/>
        </w:rPr>
        <w:t xml:space="preserve"> dean’s letters of evaluation since the last personnel action. If a candidate has previously applied for the same personnel action and been denied, inclusion of the prior FEAC letter is at the discretion of the candidate. Candidates are encouraged to include such an FEAC letter with their written response. In cases where an individual elects to omit such an FEAC letter from the file, some members of the FEAC reviewing the current file are likely to be aware that the candidate has previously applied and been turned down. It is wise to address that issue even if the FEAC letter is not included. Absence of the prior FEAC letter and failure to address the previous rejected application often raise questions in the minds of the FEAC members. </w:t>
      </w:r>
    </w:p>
    <w:p w:rsidR="000509C0" w:rsidRPr="002F03A4" w:rsidRDefault="000509C0" w:rsidP="000509C0">
      <w:pPr>
        <w:numPr>
          <w:ilvl w:val="0"/>
          <w:numId w:val="2"/>
        </w:numPr>
        <w:spacing w:after="0" w:line="240" w:lineRule="auto"/>
        <w:rPr>
          <w:rFonts w:ascii="Times New Roman" w:hAnsi="Times New Roman"/>
        </w:rPr>
      </w:pPr>
      <w:r w:rsidRPr="002F03A4">
        <w:rPr>
          <w:rFonts w:ascii="Times New Roman" w:hAnsi="Times New Roman"/>
        </w:rPr>
        <w:t>Two copies of the candidate’s</w:t>
      </w:r>
      <w:r w:rsidR="005A3401" w:rsidRPr="002F03A4">
        <w:rPr>
          <w:rFonts w:ascii="Times New Roman" w:hAnsi="Times New Roman"/>
        </w:rPr>
        <w:t xml:space="preserve"> curriculum vitae </w:t>
      </w:r>
      <w:r w:rsidRPr="002F03A4">
        <w:rPr>
          <w:rFonts w:ascii="Times New Roman" w:hAnsi="Times New Roman"/>
        </w:rPr>
        <w:t xml:space="preserve">(one left unpunched and placed inside the notebook as the second document). </w:t>
      </w:r>
    </w:p>
    <w:p w:rsidR="000509C0" w:rsidRPr="002F03A4" w:rsidRDefault="000509C0" w:rsidP="000509C0">
      <w:pPr>
        <w:numPr>
          <w:ilvl w:val="0"/>
          <w:numId w:val="2"/>
        </w:numPr>
        <w:spacing w:after="0" w:line="240" w:lineRule="auto"/>
        <w:rPr>
          <w:rFonts w:ascii="Times New Roman" w:hAnsi="Times New Roman"/>
        </w:rPr>
      </w:pPr>
      <w:r w:rsidRPr="002F03A4">
        <w:rPr>
          <w:rFonts w:ascii="Times New Roman" w:hAnsi="Times New Roman"/>
        </w:rPr>
        <w:t xml:space="preserve">One copy of each of the candidate’s Faculty </w:t>
      </w:r>
      <w:r w:rsidR="005A3401" w:rsidRPr="002F03A4">
        <w:rPr>
          <w:rFonts w:ascii="Times New Roman" w:hAnsi="Times New Roman"/>
        </w:rPr>
        <w:t>Workload Report</w:t>
      </w:r>
      <w:r w:rsidR="00EC33AF" w:rsidRPr="002F03A4">
        <w:rPr>
          <w:rFonts w:ascii="Times New Roman" w:hAnsi="Times New Roman"/>
        </w:rPr>
        <w:t xml:space="preserve"> (received each semester from your Administrative Assistant)</w:t>
      </w:r>
      <w:r w:rsidR="005A3401" w:rsidRPr="002F03A4">
        <w:rPr>
          <w:rFonts w:ascii="Times New Roman" w:hAnsi="Times New Roman"/>
        </w:rPr>
        <w:t xml:space="preserve"> </w:t>
      </w:r>
      <w:r w:rsidRPr="002F03A4">
        <w:rPr>
          <w:rFonts w:ascii="Times New Roman" w:hAnsi="Times New Roman"/>
        </w:rPr>
        <w:t xml:space="preserve">and Self-Evaluation Reports since the last promotion or, if applying for tenure, since hiring. </w:t>
      </w:r>
    </w:p>
    <w:p w:rsidR="000509C0" w:rsidRPr="002F03A4" w:rsidRDefault="000509C0" w:rsidP="000509C0">
      <w:pPr>
        <w:numPr>
          <w:ilvl w:val="0"/>
          <w:numId w:val="2"/>
        </w:numPr>
        <w:spacing w:after="0" w:line="240" w:lineRule="auto"/>
        <w:rPr>
          <w:rFonts w:ascii="Times New Roman" w:hAnsi="Times New Roman"/>
        </w:rPr>
      </w:pPr>
      <w:r w:rsidRPr="002F03A4">
        <w:rPr>
          <w:rFonts w:ascii="Times New Roman" w:hAnsi="Times New Roman"/>
        </w:rPr>
        <w:t>Narratives for each of the three evaluation areas (each typically no longer than two pages each).</w:t>
      </w:r>
    </w:p>
    <w:p w:rsidR="000509C0" w:rsidRPr="002F03A4" w:rsidRDefault="000509C0" w:rsidP="000509C0">
      <w:pPr>
        <w:spacing w:after="0"/>
        <w:ind w:left="1080"/>
        <w:rPr>
          <w:rFonts w:ascii="Times New Roman" w:hAnsi="Times New Roman"/>
        </w:rPr>
      </w:pPr>
      <w:r w:rsidRPr="002F03A4">
        <w:rPr>
          <w:rFonts w:ascii="Times New Roman" w:hAnsi="Times New Roman"/>
          <w:b/>
        </w:rPr>
        <w:t>Teaching Effectiveness</w:t>
      </w:r>
      <w:r w:rsidRPr="002F03A4">
        <w:rPr>
          <w:rFonts w:ascii="Times New Roman" w:hAnsi="Times New Roman"/>
        </w:rPr>
        <w:t xml:space="preserve"> </w:t>
      </w:r>
      <w:r w:rsidRPr="002F03A4">
        <w:rPr>
          <w:rFonts w:ascii="Times New Roman" w:hAnsi="Times New Roman"/>
          <w:i/>
        </w:rPr>
        <w:t>(including academic advising)</w:t>
      </w:r>
      <w:r w:rsidRPr="002F03A4">
        <w:rPr>
          <w:rFonts w:ascii="Times New Roman" w:hAnsi="Times New Roman"/>
        </w:rPr>
        <w:t xml:space="preserve"> </w:t>
      </w:r>
    </w:p>
    <w:p w:rsidR="000509C0" w:rsidRPr="002F03A4" w:rsidRDefault="000509C0" w:rsidP="000509C0">
      <w:pPr>
        <w:numPr>
          <w:ilvl w:val="0"/>
          <w:numId w:val="4"/>
        </w:numPr>
        <w:spacing w:after="0" w:line="240" w:lineRule="auto"/>
        <w:ind w:left="1800"/>
        <w:rPr>
          <w:rFonts w:ascii="Times New Roman" w:hAnsi="Times New Roman"/>
        </w:rPr>
      </w:pPr>
      <w:r w:rsidRPr="002F03A4">
        <w:rPr>
          <w:rFonts w:ascii="Times New Roman" w:hAnsi="Times New Roman"/>
        </w:rPr>
        <w:t xml:space="preserve">The faculty member’s main fields of teaching interest and competence. </w:t>
      </w:r>
    </w:p>
    <w:p w:rsidR="000509C0" w:rsidRPr="002F03A4" w:rsidRDefault="000509C0" w:rsidP="000509C0">
      <w:pPr>
        <w:numPr>
          <w:ilvl w:val="0"/>
          <w:numId w:val="4"/>
        </w:numPr>
        <w:spacing w:after="0" w:line="240" w:lineRule="auto"/>
        <w:ind w:left="1800"/>
        <w:rPr>
          <w:rFonts w:ascii="Times New Roman" w:hAnsi="Times New Roman"/>
        </w:rPr>
      </w:pPr>
      <w:r w:rsidRPr="002F03A4">
        <w:rPr>
          <w:rFonts w:ascii="Times New Roman" w:hAnsi="Times New Roman"/>
        </w:rPr>
        <w:t xml:space="preserve">The faculty member’s description of his or her philosophy of teaching, teaching methods used, and effectiveness (including strengths and weaknesses) of his or her teaching. </w:t>
      </w:r>
    </w:p>
    <w:p w:rsidR="000509C0" w:rsidRPr="002F03A4" w:rsidRDefault="000509C0" w:rsidP="000509C0">
      <w:pPr>
        <w:numPr>
          <w:ilvl w:val="0"/>
          <w:numId w:val="4"/>
        </w:numPr>
        <w:spacing w:after="0" w:line="240" w:lineRule="auto"/>
        <w:ind w:left="1800"/>
        <w:rPr>
          <w:rFonts w:ascii="Times New Roman" w:hAnsi="Times New Roman"/>
        </w:rPr>
      </w:pPr>
      <w:r w:rsidRPr="002F03A4">
        <w:rPr>
          <w:rFonts w:ascii="Times New Roman" w:hAnsi="Times New Roman"/>
        </w:rPr>
        <w:t xml:space="preserve">The faculty member’s efforts and plans for maintaining and/or improving the quality of teaching effectiveness. </w:t>
      </w:r>
    </w:p>
    <w:p w:rsidR="000509C0" w:rsidRPr="002F03A4" w:rsidRDefault="000509C0" w:rsidP="000509C0">
      <w:pPr>
        <w:numPr>
          <w:ilvl w:val="0"/>
          <w:numId w:val="4"/>
        </w:numPr>
        <w:spacing w:after="0" w:line="240" w:lineRule="auto"/>
        <w:ind w:left="1800"/>
        <w:rPr>
          <w:rFonts w:ascii="Times New Roman" w:hAnsi="Times New Roman"/>
        </w:rPr>
      </w:pPr>
      <w:r w:rsidRPr="002F03A4">
        <w:rPr>
          <w:rFonts w:ascii="Times New Roman" w:hAnsi="Times New Roman"/>
        </w:rPr>
        <w:t xml:space="preserve">The faculty member’s description of the methods and effectiveness of his or her academic advising. </w:t>
      </w:r>
    </w:p>
    <w:p w:rsidR="000509C0" w:rsidRPr="002F03A4" w:rsidRDefault="000509C0" w:rsidP="000509C0">
      <w:pPr>
        <w:numPr>
          <w:ilvl w:val="0"/>
          <w:numId w:val="4"/>
        </w:numPr>
        <w:spacing w:after="0" w:line="240" w:lineRule="auto"/>
        <w:ind w:left="1800"/>
        <w:rPr>
          <w:rFonts w:ascii="Times New Roman" w:hAnsi="Times New Roman"/>
        </w:rPr>
      </w:pPr>
      <w:r w:rsidRPr="002F03A4">
        <w:rPr>
          <w:rFonts w:ascii="Times New Roman" w:hAnsi="Times New Roman"/>
        </w:rPr>
        <w:t xml:space="preserve">Syllabi of all courses taught since the last personnel action. </w:t>
      </w:r>
    </w:p>
    <w:p w:rsidR="000509C0" w:rsidRPr="002F03A4" w:rsidRDefault="000509C0" w:rsidP="000509C0">
      <w:pPr>
        <w:tabs>
          <w:tab w:val="left" w:pos="1080"/>
        </w:tabs>
        <w:spacing w:after="0"/>
        <w:ind w:left="1080"/>
        <w:rPr>
          <w:rFonts w:ascii="Times New Roman" w:hAnsi="Times New Roman"/>
          <w:b/>
        </w:rPr>
      </w:pPr>
      <w:r w:rsidRPr="002F03A4">
        <w:rPr>
          <w:rFonts w:ascii="Times New Roman" w:hAnsi="Times New Roman"/>
          <w:b/>
        </w:rPr>
        <w:t xml:space="preserve">Scholarship and Related Professional Activity </w:t>
      </w:r>
    </w:p>
    <w:p w:rsidR="000509C0" w:rsidRPr="002F03A4" w:rsidRDefault="000509C0" w:rsidP="000509C0">
      <w:pPr>
        <w:numPr>
          <w:ilvl w:val="0"/>
          <w:numId w:val="3"/>
        </w:numPr>
        <w:spacing w:after="0" w:line="240" w:lineRule="auto"/>
        <w:ind w:left="1800"/>
        <w:rPr>
          <w:rFonts w:ascii="Times New Roman" w:hAnsi="Times New Roman"/>
        </w:rPr>
      </w:pPr>
      <w:r w:rsidRPr="002F03A4">
        <w:rPr>
          <w:rFonts w:ascii="Times New Roman" w:hAnsi="Times New Roman"/>
        </w:rPr>
        <w:t xml:space="preserve">The faculty member’s main fields of scholarly expertise, interest and activity. </w:t>
      </w:r>
    </w:p>
    <w:p w:rsidR="000509C0" w:rsidRPr="002F03A4" w:rsidRDefault="000509C0" w:rsidP="000509C0">
      <w:pPr>
        <w:numPr>
          <w:ilvl w:val="0"/>
          <w:numId w:val="3"/>
        </w:numPr>
        <w:spacing w:after="0" w:line="240" w:lineRule="auto"/>
        <w:ind w:left="1800"/>
        <w:rPr>
          <w:rFonts w:ascii="Times New Roman" w:hAnsi="Times New Roman"/>
        </w:rPr>
      </w:pPr>
      <w:r w:rsidRPr="002F03A4">
        <w:rPr>
          <w:rFonts w:ascii="Times New Roman" w:hAnsi="Times New Roman"/>
        </w:rPr>
        <w:t xml:space="preserve">The faculty member’s strategy for keeping current in his or her field(s), and plans for continuing scholarly activity. </w:t>
      </w:r>
    </w:p>
    <w:p w:rsidR="000509C0" w:rsidRPr="002F03A4" w:rsidRDefault="000509C0" w:rsidP="000509C0">
      <w:pPr>
        <w:numPr>
          <w:ilvl w:val="0"/>
          <w:numId w:val="3"/>
        </w:numPr>
        <w:spacing w:after="0" w:line="240" w:lineRule="auto"/>
        <w:ind w:left="1800"/>
        <w:rPr>
          <w:rFonts w:ascii="Times New Roman" w:hAnsi="Times New Roman"/>
        </w:rPr>
      </w:pPr>
      <w:r w:rsidRPr="002F03A4">
        <w:rPr>
          <w:rFonts w:ascii="Times New Roman" w:hAnsi="Times New Roman"/>
        </w:rPr>
        <w:t xml:space="preserve">The significance and success(es) of his or her scholarly activity. </w:t>
      </w:r>
    </w:p>
    <w:p w:rsidR="000509C0" w:rsidRPr="002F03A4" w:rsidRDefault="000509C0" w:rsidP="000509C0">
      <w:pPr>
        <w:spacing w:after="0" w:line="240" w:lineRule="auto"/>
        <w:ind w:left="1080"/>
        <w:rPr>
          <w:rFonts w:ascii="Times New Roman" w:hAnsi="Times New Roman"/>
        </w:rPr>
      </w:pPr>
      <w:r w:rsidRPr="002F03A4">
        <w:rPr>
          <w:rFonts w:ascii="Times New Roman" w:hAnsi="Times New Roman"/>
          <w:b/>
        </w:rPr>
        <w:lastRenderedPageBreak/>
        <w:t xml:space="preserve">Service to the College </w:t>
      </w:r>
      <w:r w:rsidRPr="002F03A4">
        <w:rPr>
          <w:rFonts w:ascii="Times New Roman" w:hAnsi="Times New Roman"/>
        </w:rPr>
        <w:t>(including service to the</w:t>
      </w:r>
      <w:r w:rsidRPr="002F03A4">
        <w:rPr>
          <w:rFonts w:ascii="Times New Roman" w:hAnsi="Times New Roman"/>
          <w:b/>
        </w:rPr>
        <w:t xml:space="preserve"> </w:t>
      </w:r>
      <w:r w:rsidRPr="002F03A4">
        <w:rPr>
          <w:rFonts w:ascii="Times New Roman" w:hAnsi="Times New Roman"/>
        </w:rPr>
        <w:t xml:space="preserve">community in a professional capacity) </w:t>
      </w:r>
    </w:p>
    <w:p w:rsidR="000509C0" w:rsidRPr="002F03A4" w:rsidRDefault="000509C0" w:rsidP="000509C0">
      <w:pPr>
        <w:numPr>
          <w:ilvl w:val="0"/>
          <w:numId w:val="6"/>
        </w:numPr>
        <w:spacing w:after="0" w:line="240" w:lineRule="auto"/>
        <w:ind w:left="1800"/>
        <w:rPr>
          <w:rFonts w:ascii="Times New Roman" w:hAnsi="Times New Roman"/>
        </w:rPr>
      </w:pPr>
      <w:r w:rsidRPr="002F03A4">
        <w:rPr>
          <w:rFonts w:ascii="Times New Roman" w:hAnsi="Times New Roman"/>
        </w:rPr>
        <w:t xml:space="preserve">The faculty member’s main areas of service interest and activity. </w:t>
      </w:r>
    </w:p>
    <w:p w:rsidR="000509C0" w:rsidRPr="002F03A4" w:rsidRDefault="000509C0" w:rsidP="000509C0">
      <w:pPr>
        <w:numPr>
          <w:ilvl w:val="0"/>
          <w:numId w:val="6"/>
        </w:numPr>
        <w:spacing w:after="0" w:line="240" w:lineRule="auto"/>
        <w:ind w:left="1800"/>
        <w:rPr>
          <w:rFonts w:ascii="Times New Roman" w:hAnsi="Times New Roman"/>
        </w:rPr>
      </w:pPr>
      <w:r w:rsidRPr="002F03A4">
        <w:rPr>
          <w:rFonts w:ascii="Times New Roman" w:hAnsi="Times New Roman"/>
        </w:rPr>
        <w:t xml:space="preserve">A description of the significance and success of his or her service activities. </w:t>
      </w:r>
    </w:p>
    <w:p w:rsidR="000509C0" w:rsidRPr="002F03A4" w:rsidRDefault="000509C0" w:rsidP="000509C0">
      <w:pPr>
        <w:numPr>
          <w:ilvl w:val="0"/>
          <w:numId w:val="5"/>
        </w:numPr>
        <w:tabs>
          <w:tab w:val="left" w:pos="720"/>
        </w:tabs>
        <w:spacing w:after="0"/>
        <w:rPr>
          <w:rFonts w:ascii="Times New Roman" w:hAnsi="Times New Roman"/>
          <w:b/>
          <w:i/>
        </w:rPr>
      </w:pPr>
      <w:r w:rsidRPr="002F03A4">
        <w:rPr>
          <w:rFonts w:ascii="Times New Roman" w:hAnsi="Times New Roman"/>
          <w:b/>
          <w:i/>
        </w:rPr>
        <w:t xml:space="preserve">Student Course Evaluations: </w:t>
      </w:r>
      <w:r w:rsidRPr="002F03A4">
        <w:rPr>
          <w:rFonts w:ascii="Times New Roman" w:hAnsi="Times New Roman"/>
        </w:rPr>
        <w:t xml:space="preserve">Include ALL student evaluations for all courses (including team-taught courses) </w:t>
      </w:r>
      <w:r w:rsidR="00517D42" w:rsidRPr="002F03A4">
        <w:rPr>
          <w:rFonts w:ascii="Times New Roman" w:hAnsi="Times New Roman"/>
        </w:rPr>
        <w:t xml:space="preserve">and corresponding statistical summaries </w:t>
      </w:r>
      <w:r w:rsidRPr="002F03A4">
        <w:rPr>
          <w:rFonts w:ascii="Times New Roman" w:hAnsi="Times New Roman"/>
        </w:rPr>
        <w:t xml:space="preserve">since the previous personnel action. In the case of a faculty member who has been in rank for more than five years before applying for consideration for promotion, only the immediate previous five years of student course evaluation need to be included. The faculty member should read the evaluations and provide a narrative summary of student responses to his or her classes. This summary should address the general pattern of student responses, describe how the faculty member has used that information, and address any distinctive patterns of positive or negative response. </w:t>
      </w:r>
    </w:p>
    <w:p w:rsidR="00782C23" w:rsidRPr="002F03A4" w:rsidRDefault="00782C23" w:rsidP="00782C23">
      <w:pPr>
        <w:tabs>
          <w:tab w:val="left" w:pos="720"/>
        </w:tabs>
        <w:spacing w:after="0"/>
        <w:ind w:left="720"/>
        <w:rPr>
          <w:rFonts w:ascii="Times New Roman" w:hAnsi="Times New Roman"/>
          <w:b/>
          <w:i/>
        </w:rPr>
      </w:pPr>
    </w:p>
    <w:p w:rsidR="000509C0" w:rsidRPr="002F03A4" w:rsidRDefault="000509C0" w:rsidP="000509C0">
      <w:pPr>
        <w:spacing w:after="0"/>
        <w:rPr>
          <w:rFonts w:ascii="Times New Roman" w:hAnsi="Times New Roman"/>
        </w:rPr>
      </w:pPr>
      <w:r w:rsidRPr="002F03A4">
        <w:rPr>
          <w:rFonts w:ascii="Times New Roman" w:hAnsi="Times New Roman"/>
        </w:rPr>
        <w:t xml:space="preserve">Items that may be worthy of inclusion as documentation in the first notebook of the file: </w:t>
      </w:r>
    </w:p>
    <w:p w:rsidR="000509C0" w:rsidRPr="002F03A4" w:rsidRDefault="000509C0" w:rsidP="000509C0">
      <w:pPr>
        <w:numPr>
          <w:ilvl w:val="0"/>
          <w:numId w:val="7"/>
        </w:numPr>
        <w:spacing w:after="0"/>
        <w:rPr>
          <w:rFonts w:ascii="Times New Roman" w:hAnsi="Times New Roman"/>
          <w:i/>
        </w:rPr>
      </w:pPr>
      <w:r w:rsidRPr="002F03A4">
        <w:rPr>
          <w:rFonts w:ascii="Times New Roman" w:hAnsi="Times New Roman"/>
          <w:b/>
          <w:i/>
        </w:rPr>
        <w:t>Teaching Effectiveness</w:t>
      </w:r>
      <w:r w:rsidRPr="002F03A4">
        <w:rPr>
          <w:rFonts w:ascii="Times New Roman" w:hAnsi="Times New Roman"/>
          <w:i/>
        </w:rPr>
        <w:t xml:space="preserve"> (including academic advising) </w:t>
      </w:r>
    </w:p>
    <w:p w:rsidR="000509C0" w:rsidRPr="002F03A4" w:rsidRDefault="000509C0" w:rsidP="000509C0">
      <w:pPr>
        <w:numPr>
          <w:ilvl w:val="0"/>
          <w:numId w:val="8"/>
        </w:numPr>
        <w:spacing w:after="0" w:line="240" w:lineRule="auto"/>
        <w:ind w:left="1800"/>
        <w:rPr>
          <w:rFonts w:ascii="Times New Roman" w:hAnsi="Times New Roman"/>
        </w:rPr>
      </w:pPr>
      <w:r w:rsidRPr="002F03A4">
        <w:rPr>
          <w:rFonts w:ascii="Times New Roman" w:hAnsi="Times New Roman"/>
        </w:rPr>
        <w:t xml:space="preserve">Descriptions of innovations or special methods used by the faculty member in his or her teaching. </w:t>
      </w:r>
    </w:p>
    <w:p w:rsidR="000509C0" w:rsidRPr="002F03A4" w:rsidRDefault="000509C0" w:rsidP="000509C0">
      <w:pPr>
        <w:numPr>
          <w:ilvl w:val="0"/>
          <w:numId w:val="8"/>
        </w:numPr>
        <w:spacing w:after="0" w:line="240" w:lineRule="auto"/>
        <w:ind w:left="1800"/>
        <w:rPr>
          <w:rFonts w:ascii="Times New Roman" w:hAnsi="Times New Roman"/>
        </w:rPr>
      </w:pPr>
      <w:r w:rsidRPr="002F03A4">
        <w:rPr>
          <w:rFonts w:ascii="Times New Roman" w:hAnsi="Times New Roman"/>
        </w:rPr>
        <w:t xml:space="preserve">Evidence of careful selection and preparation of class materials. This could include sample exams, handouts, assignments, and other materials. </w:t>
      </w:r>
    </w:p>
    <w:p w:rsidR="000509C0" w:rsidRPr="002F03A4" w:rsidRDefault="000509C0" w:rsidP="000509C0">
      <w:pPr>
        <w:numPr>
          <w:ilvl w:val="0"/>
          <w:numId w:val="8"/>
        </w:numPr>
        <w:spacing w:after="0" w:line="240" w:lineRule="auto"/>
        <w:ind w:left="1800"/>
        <w:rPr>
          <w:rFonts w:ascii="Times New Roman" w:hAnsi="Times New Roman"/>
        </w:rPr>
      </w:pPr>
      <w:r w:rsidRPr="002F03A4">
        <w:rPr>
          <w:rFonts w:ascii="Times New Roman" w:hAnsi="Times New Roman"/>
        </w:rPr>
        <w:t xml:space="preserve">Evidence of student learning. This could include samples of student work, standardized test scores, awards that student course work has received, and other evidence. </w:t>
      </w:r>
    </w:p>
    <w:p w:rsidR="000509C0" w:rsidRPr="002F03A4" w:rsidRDefault="000509C0" w:rsidP="000509C0">
      <w:pPr>
        <w:numPr>
          <w:ilvl w:val="0"/>
          <w:numId w:val="8"/>
        </w:numPr>
        <w:spacing w:after="0" w:line="240" w:lineRule="auto"/>
        <w:ind w:left="1800"/>
        <w:rPr>
          <w:rFonts w:ascii="Times New Roman" w:hAnsi="Times New Roman"/>
        </w:rPr>
      </w:pPr>
      <w:r w:rsidRPr="002F03A4">
        <w:rPr>
          <w:rFonts w:ascii="Times New Roman" w:hAnsi="Times New Roman"/>
        </w:rPr>
        <w:t xml:space="preserve">Evidence of effective advising. This could include letters of appreciation, evidence of student retention and/or timely completion of degree program, and other examples. </w:t>
      </w:r>
    </w:p>
    <w:p w:rsidR="000509C0" w:rsidRPr="002F03A4" w:rsidRDefault="000509C0" w:rsidP="000509C0">
      <w:pPr>
        <w:numPr>
          <w:ilvl w:val="0"/>
          <w:numId w:val="7"/>
        </w:numPr>
        <w:spacing w:after="0"/>
        <w:rPr>
          <w:rFonts w:ascii="Times New Roman" w:hAnsi="Times New Roman"/>
          <w:b/>
          <w:i/>
        </w:rPr>
      </w:pPr>
      <w:r w:rsidRPr="002F03A4">
        <w:rPr>
          <w:rFonts w:ascii="Times New Roman" w:hAnsi="Times New Roman"/>
          <w:b/>
          <w:i/>
        </w:rPr>
        <w:t>Scholarship and Related Professional Activity</w:t>
      </w:r>
    </w:p>
    <w:p w:rsidR="000509C0" w:rsidRPr="002F03A4" w:rsidRDefault="000509C0" w:rsidP="000509C0">
      <w:pPr>
        <w:numPr>
          <w:ilvl w:val="0"/>
          <w:numId w:val="9"/>
        </w:numPr>
        <w:spacing w:after="0" w:line="240" w:lineRule="auto"/>
        <w:ind w:left="1800"/>
        <w:rPr>
          <w:rFonts w:ascii="Times New Roman" w:hAnsi="Times New Roman"/>
        </w:rPr>
      </w:pPr>
      <w:r w:rsidRPr="002F03A4">
        <w:rPr>
          <w:rFonts w:ascii="Times New Roman" w:hAnsi="Times New Roman"/>
        </w:rPr>
        <w:t xml:space="preserve">Lists of scholarly activity should be in </w:t>
      </w:r>
      <w:r w:rsidRPr="000C0A7C">
        <w:rPr>
          <w:rFonts w:ascii="Times New Roman" w:hAnsi="Times New Roman"/>
        </w:rPr>
        <w:t>Annual Faculty Information and Self-Evaluation Reports</w:t>
      </w:r>
      <w:r w:rsidRPr="002F03A4">
        <w:rPr>
          <w:rFonts w:ascii="Times New Roman" w:hAnsi="Times New Roman"/>
        </w:rPr>
        <w:t xml:space="preserve">. Scholarly activity since the last form should be mentioned. The promotion and tenure file is not a place to re-list, but to include documentation and explanation. </w:t>
      </w:r>
    </w:p>
    <w:p w:rsidR="000509C0" w:rsidRPr="002F03A4" w:rsidRDefault="000509C0" w:rsidP="000509C0">
      <w:pPr>
        <w:numPr>
          <w:ilvl w:val="0"/>
          <w:numId w:val="9"/>
        </w:numPr>
        <w:spacing w:after="0" w:line="240" w:lineRule="auto"/>
        <w:ind w:left="1800"/>
        <w:rPr>
          <w:rFonts w:ascii="Times New Roman" w:hAnsi="Times New Roman"/>
        </w:rPr>
      </w:pPr>
      <w:r w:rsidRPr="002F03A4">
        <w:rPr>
          <w:rFonts w:ascii="Times New Roman" w:hAnsi="Times New Roman"/>
        </w:rPr>
        <w:t xml:space="preserve">Helpful documentation of scholarship and related professional activity might include: </w:t>
      </w:r>
    </w:p>
    <w:p w:rsidR="000509C0" w:rsidRPr="002F03A4" w:rsidRDefault="000509C0" w:rsidP="000509C0">
      <w:pPr>
        <w:numPr>
          <w:ilvl w:val="1"/>
          <w:numId w:val="10"/>
        </w:numPr>
        <w:spacing w:after="0" w:line="240" w:lineRule="auto"/>
        <w:ind w:left="2520"/>
        <w:rPr>
          <w:rFonts w:ascii="Times New Roman" w:hAnsi="Times New Roman"/>
        </w:rPr>
      </w:pPr>
      <w:r w:rsidRPr="002F03A4">
        <w:rPr>
          <w:rFonts w:ascii="Times New Roman" w:hAnsi="Times New Roman"/>
        </w:rPr>
        <w:t xml:space="preserve">copies of publications </w:t>
      </w:r>
    </w:p>
    <w:p w:rsidR="000509C0" w:rsidRPr="002F03A4" w:rsidRDefault="000509C0" w:rsidP="000509C0">
      <w:pPr>
        <w:numPr>
          <w:ilvl w:val="1"/>
          <w:numId w:val="10"/>
        </w:numPr>
        <w:spacing w:after="0" w:line="240" w:lineRule="auto"/>
        <w:ind w:left="2520"/>
        <w:rPr>
          <w:rFonts w:ascii="Times New Roman" w:hAnsi="Times New Roman"/>
        </w:rPr>
      </w:pPr>
      <w:r w:rsidRPr="002F03A4">
        <w:rPr>
          <w:rFonts w:ascii="Times New Roman" w:hAnsi="Times New Roman"/>
        </w:rPr>
        <w:t xml:space="preserve">copies of programs documenting presentations </w:t>
      </w:r>
    </w:p>
    <w:p w:rsidR="000509C0" w:rsidRPr="002F03A4" w:rsidRDefault="000509C0" w:rsidP="000509C0">
      <w:pPr>
        <w:numPr>
          <w:ilvl w:val="1"/>
          <w:numId w:val="10"/>
        </w:numPr>
        <w:spacing w:after="0" w:line="240" w:lineRule="auto"/>
        <w:ind w:left="2520"/>
        <w:rPr>
          <w:rFonts w:ascii="Times New Roman" w:hAnsi="Times New Roman"/>
        </w:rPr>
      </w:pPr>
      <w:r w:rsidRPr="002F03A4">
        <w:rPr>
          <w:rFonts w:ascii="Times New Roman" w:hAnsi="Times New Roman"/>
        </w:rPr>
        <w:t xml:space="preserve">certificates and letters documenting professional contributions </w:t>
      </w:r>
    </w:p>
    <w:p w:rsidR="000509C0" w:rsidRPr="002F03A4" w:rsidRDefault="000509C0" w:rsidP="000509C0">
      <w:pPr>
        <w:numPr>
          <w:ilvl w:val="0"/>
          <w:numId w:val="7"/>
        </w:numPr>
        <w:spacing w:after="0"/>
        <w:rPr>
          <w:rFonts w:ascii="Times New Roman" w:hAnsi="Times New Roman"/>
        </w:rPr>
      </w:pPr>
      <w:r w:rsidRPr="002F03A4">
        <w:rPr>
          <w:rFonts w:ascii="Times New Roman" w:hAnsi="Times New Roman"/>
          <w:b/>
          <w:i/>
        </w:rPr>
        <w:t>Service to the College</w:t>
      </w:r>
      <w:r w:rsidRPr="002F03A4">
        <w:rPr>
          <w:rFonts w:ascii="Times New Roman" w:hAnsi="Times New Roman"/>
        </w:rPr>
        <w:t xml:space="preserve"> </w:t>
      </w:r>
      <w:r w:rsidRPr="002F03A4">
        <w:rPr>
          <w:rFonts w:ascii="Times New Roman" w:hAnsi="Times New Roman"/>
          <w:i/>
        </w:rPr>
        <w:t>(including service to the community</w:t>
      </w:r>
      <w:r w:rsidRPr="002F03A4">
        <w:rPr>
          <w:rFonts w:ascii="Times New Roman" w:hAnsi="Times New Roman"/>
        </w:rPr>
        <w:t xml:space="preserve"> </w:t>
      </w:r>
      <w:r w:rsidRPr="002F03A4">
        <w:rPr>
          <w:rFonts w:ascii="Times New Roman" w:hAnsi="Times New Roman"/>
          <w:i/>
        </w:rPr>
        <w:t xml:space="preserve">in a professional capacity) </w:t>
      </w:r>
    </w:p>
    <w:p w:rsidR="000509C0" w:rsidRPr="002F03A4" w:rsidRDefault="000509C0" w:rsidP="000509C0">
      <w:pPr>
        <w:numPr>
          <w:ilvl w:val="0"/>
          <w:numId w:val="11"/>
        </w:numPr>
        <w:spacing w:after="0" w:line="240" w:lineRule="auto"/>
        <w:ind w:left="1800"/>
        <w:rPr>
          <w:rFonts w:ascii="Times New Roman" w:hAnsi="Times New Roman"/>
        </w:rPr>
      </w:pPr>
      <w:r w:rsidRPr="002F03A4">
        <w:rPr>
          <w:rFonts w:ascii="Times New Roman" w:hAnsi="Times New Roman"/>
        </w:rPr>
        <w:t xml:space="preserve">Lists of service activities should be in </w:t>
      </w:r>
      <w:r w:rsidRPr="000C0A7C">
        <w:rPr>
          <w:rFonts w:ascii="Times New Roman" w:hAnsi="Times New Roman"/>
        </w:rPr>
        <w:t>Annual Faculty Information and Self-Evaluation Reports</w:t>
      </w:r>
      <w:r w:rsidRPr="002F03A4">
        <w:rPr>
          <w:rFonts w:ascii="Times New Roman" w:hAnsi="Times New Roman"/>
        </w:rPr>
        <w:t xml:space="preserve">. Service activity since the last form should be mentioned. The promotion and tenure file is not a place to re-list, but to provide documentation and explanation. </w:t>
      </w:r>
    </w:p>
    <w:p w:rsidR="000509C0" w:rsidRPr="002F03A4" w:rsidRDefault="000509C0" w:rsidP="000509C0">
      <w:pPr>
        <w:numPr>
          <w:ilvl w:val="0"/>
          <w:numId w:val="11"/>
        </w:numPr>
        <w:spacing w:after="0" w:line="240" w:lineRule="auto"/>
        <w:ind w:left="1800"/>
        <w:rPr>
          <w:rFonts w:ascii="Times New Roman" w:hAnsi="Times New Roman"/>
        </w:rPr>
      </w:pPr>
      <w:r w:rsidRPr="002F03A4">
        <w:rPr>
          <w:rFonts w:ascii="Times New Roman" w:hAnsi="Times New Roman"/>
        </w:rPr>
        <w:t xml:space="preserve">Helpful documentation of service activities might include: </w:t>
      </w:r>
    </w:p>
    <w:p w:rsidR="000509C0" w:rsidRPr="002F03A4" w:rsidRDefault="000509C0" w:rsidP="000509C0">
      <w:pPr>
        <w:numPr>
          <w:ilvl w:val="1"/>
          <w:numId w:val="12"/>
        </w:numPr>
        <w:spacing w:after="0" w:line="240" w:lineRule="auto"/>
        <w:ind w:left="2520"/>
        <w:rPr>
          <w:rFonts w:ascii="Times New Roman" w:hAnsi="Times New Roman"/>
        </w:rPr>
      </w:pPr>
      <w:r w:rsidRPr="002F03A4">
        <w:rPr>
          <w:rFonts w:ascii="Times New Roman" w:hAnsi="Times New Roman"/>
        </w:rPr>
        <w:t xml:space="preserve">documentation of participation in service capacities </w:t>
      </w:r>
    </w:p>
    <w:p w:rsidR="000509C0" w:rsidRPr="002F03A4" w:rsidRDefault="000509C0" w:rsidP="000509C0">
      <w:pPr>
        <w:numPr>
          <w:ilvl w:val="1"/>
          <w:numId w:val="12"/>
        </w:numPr>
        <w:spacing w:after="0" w:line="240" w:lineRule="auto"/>
        <w:ind w:left="2520"/>
        <w:rPr>
          <w:rFonts w:ascii="Times New Roman" w:hAnsi="Times New Roman"/>
        </w:rPr>
      </w:pPr>
      <w:r w:rsidRPr="002F03A4">
        <w:rPr>
          <w:rFonts w:ascii="Times New Roman" w:hAnsi="Times New Roman"/>
        </w:rPr>
        <w:t xml:space="preserve">explanations of one’s contribution </w:t>
      </w:r>
    </w:p>
    <w:p w:rsidR="000509C0" w:rsidRPr="002F03A4" w:rsidRDefault="000509C0" w:rsidP="000509C0">
      <w:pPr>
        <w:numPr>
          <w:ilvl w:val="1"/>
          <w:numId w:val="12"/>
        </w:numPr>
        <w:spacing w:after="0" w:line="240" w:lineRule="auto"/>
        <w:ind w:left="2520"/>
        <w:rPr>
          <w:rFonts w:ascii="Times New Roman" w:hAnsi="Times New Roman"/>
        </w:rPr>
      </w:pPr>
      <w:r w:rsidRPr="002F03A4">
        <w:rPr>
          <w:rFonts w:ascii="Times New Roman" w:hAnsi="Times New Roman"/>
        </w:rPr>
        <w:t xml:space="preserve">certificates or letters of appreciation/commendation for one’s contributions </w:t>
      </w:r>
    </w:p>
    <w:p w:rsidR="000509C0" w:rsidRPr="002F03A4" w:rsidRDefault="000509C0" w:rsidP="000509C0">
      <w:pPr>
        <w:numPr>
          <w:ilvl w:val="1"/>
          <w:numId w:val="12"/>
        </w:numPr>
        <w:spacing w:after="0" w:line="240" w:lineRule="auto"/>
        <w:ind w:left="2520"/>
        <w:rPr>
          <w:rFonts w:ascii="Times New Roman" w:hAnsi="Times New Roman"/>
        </w:rPr>
      </w:pPr>
      <w:r w:rsidRPr="002F03A4">
        <w:rPr>
          <w:rFonts w:ascii="Times New Roman" w:hAnsi="Times New Roman"/>
        </w:rPr>
        <w:t xml:space="preserve">letters of support from colleagues, students, or professionals familiar with one’s competence and contributions </w:t>
      </w:r>
    </w:p>
    <w:p w:rsidR="000509C0" w:rsidRPr="002F03A4" w:rsidRDefault="000509C0" w:rsidP="000509C0">
      <w:pPr>
        <w:spacing w:after="0" w:line="240" w:lineRule="auto"/>
        <w:ind w:left="2520"/>
        <w:rPr>
          <w:rFonts w:ascii="Times New Roman" w:hAnsi="Times New Roman"/>
        </w:rPr>
      </w:pPr>
    </w:p>
    <w:p w:rsidR="000509C0" w:rsidRPr="002F03A4" w:rsidRDefault="000509C0" w:rsidP="000509C0">
      <w:pPr>
        <w:spacing w:after="0"/>
        <w:rPr>
          <w:rFonts w:ascii="Times New Roman" w:hAnsi="Times New Roman"/>
        </w:rPr>
      </w:pPr>
      <w:r w:rsidRPr="002F03A4">
        <w:rPr>
          <w:rFonts w:ascii="Times New Roman" w:hAnsi="Times New Roman"/>
        </w:rPr>
        <w:t xml:space="preserve">A candidate may include additional materials at his or her discretion. All materials should be germane, contribute something to the folder that is not otherwise available, be well organized and provide substantial contribution to the ability of the FEAC to fully and fairly evaluate the candidate. </w:t>
      </w:r>
    </w:p>
    <w:p w:rsidR="000509C0" w:rsidRPr="002F03A4" w:rsidRDefault="000509C0" w:rsidP="000509C0">
      <w:pPr>
        <w:spacing w:after="0"/>
        <w:ind w:left="1440"/>
        <w:rPr>
          <w:rFonts w:ascii="Times New Roman" w:hAnsi="Times New Roman"/>
        </w:rPr>
      </w:pPr>
    </w:p>
    <w:p w:rsidR="000509C0" w:rsidRPr="002F03A4" w:rsidRDefault="000509C0" w:rsidP="000509C0">
      <w:pPr>
        <w:pStyle w:val="ListParagraph"/>
        <w:numPr>
          <w:ilvl w:val="0"/>
          <w:numId w:val="7"/>
        </w:numPr>
        <w:spacing w:after="0"/>
        <w:rPr>
          <w:rFonts w:ascii="Times New Roman" w:hAnsi="Times New Roman"/>
        </w:rPr>
      </w:pPr>
      <w:r w:rsidRPr="002F03A4">
        <w:rPr>
          <w:rFonts w:ascii="Times New Roman" w:hAnsi="Times New Roman"/>
          <w:b/>
        </w:rPr>
        <w:t>Evaluation Criteria, Evidence and Documentation:</w:t>
      </w:r>
      <w:r w:rsidRPr="002F03A4">
        <w:rPr>
          <w:rFonts w:ascii="Times New Roman" w:hAnsi="Times New Roman"/>
        </w:rPr>
        <w:t xml:space="preserve"> Teaching effectiveness is a necessary condition for continuing contracts, tenure, and promotion to any level. All faculty members are expected to be professionally current, engaged in scholarly activity, and active citizens of the Keene State community. There is no one model of a quality faculty member – no ideal résumé. The specific amount and type of scholarship, professional activity, and service appropriate for continuing contracts, tenure, or promotion will vary considerably with the faculty member’s field, skills, and interests. For any given faculty member, the understanding of what constitutes </w:t>
      </w:r>
      <w:r w:rsidRPr="002F03A4">
        <w:rPr>
          <w:rFonts w:ascii="Times New Roman" w:hAnsi="Times New Roman"/>
        </w:rPr>
        <w:lastRenderedPageBreak/>
        <w:t xml:space="preserve">effective teaching, active scholarship, and good citizenship at Keene State necessarily emerges from good communication with colleagues and deans. Opinions of colleagues and deans are advisory. All personnel actions are management rights (Article III A) and result from the evaluation process described in Article VIII of the Collective Bargaining Agreement and the DPEC and FEAC Guidelines. </w:t>
      </w:r>
    </w:p>
    <w:p w:rsidR="000509C0" w:rsidRPr="002F03A4" w:rsidRDefault="000509C0" w:rsidP="000509C0">
      <w:pPr>
        <w:numPr>
          <w:ilvl w:val="0"/>
          <w:numId w:val="7"/>
        </w:numPr>
        <w:spacing w:after="0"/>
        <w:ind w:left="1800"/>
        <w:rPr>
          <w:rFonts w:ascii="Times New Roman" w:hAnsi="Times New Roman"/>
        </w:rPr>
      </w:pPr>
      <w:r w:rsidRPr="002F03A4">
        <w:rPr>
          <w:rFonts w:ascii="Times New Roman" w:hAnsi="Times New Roman"/>
          <w:b/>
          <w:i/>
        </w:rPr>
        <w:t>Teaching Effectiveness (including academic advising</w:t>
      </w:r>
      <w:r w:rsidRPr="002F03A4">
        <w:rPr>
          <w:rFonts w:ascii="Times New Roman" w:hAnsi="Times New Roman"/>
        </w:rPr>
        <w:t xml:space="preserve">) The primary responsibility of a faculty member at Keene State is effective teaching, both in and out of the classroom. Effectiveness is ultimately measured by student learning, not faculty knowledge or actions. Evidence of teaching effectiveness should address student learning. It may be helpful to think of teaching effectiveness in terms of four sub-categories: </w:t>
      </w:r>
    </w:p>
    <w:p w:rsidR="000509C0" w:rsidRPr="002F03A4" w:rsidRDefault="000509C0" w:rsidP="000509C0">
      <w:pPr>
        <w:numPr>
          <w:ilvl w:val="0"/>
          <w:numId w:val="25"/>
        </w:numPr>
        <w:spacing w:after="0" w:line="240" w:lineRule="auto"/>
        <w:ind w:left="2520"/>
        <w:rPr>
          <w:rFonts w:ascii="Times New Roman" w:hAnsi="Times New Roman"/>
        </w:rPr>
      </w:pPr>
      <w:r w:rsidRPr="002F03A4">
        <w:rPr>
          <w:rFonts w:ascii="Times New Roman" w:hAnsi="Times New Roman"/>
        </w:rPr>
        <w:t xml:space="preserve">content </w:t>
      </w:r>
      <w:r w:rsidR="00517D42" w:rsidRPr="002F03A4">
        <w:rPr>
          <w:rFonts w:ascii="Times New Roman" w:hAnsi="Times New Roman"/>
        </w:rPr>
        <w:t>knowledge</w:t>
      </w:r>
      <w:r w:rsidRPr="002F03A4">
        <w:rPr>
          <w:rFonts w:ascii="Times New Roman" w:hAnsi="Times New Roman"/>
        </w:rPr>
        <w:t xml:space="preserve"> </w:t>
      </w:r>
    </w:p>
    <w:p w:rsidR="000509C0" w:rsidRPr="002F03A4" w:rsidRDefault="00517D42" w:rsidP="000509C0">
      <w:pPr>
        <w:numPr>
          <w:ilvl w:val="0"/>
          <w:numId w:val="25"/>
        </w:numPr>
        <w:spacing w:after="0" w:line="240" w:lineRule="auto"/>
        <w:ind w:left="2520"/>
        <w:rPr>
          <w:rFonts w:ascii="Times New Roman" w:hAnsi="Times New Roman"/>
        </w:rPr>
      </w:pPr>
      <w:r w:rsidRPr="002F03A4">
        <w:rPr>
          <w:rFonts w:ascii="Times New Roman" w:hAnsi="Times New Roman"/>
        </w:rPr>
        <w:t>pedagogy</w:t>
      </w:r>
    </w:p>
    <w:p w:rsidR="000509C0" w:rsidRPr="002F03A4" w:rsidRDefault="00517D42" w:rsidP="000509C0">
      <w:pPr>
        <w:numPr>
          <w:ilvl w:val="0"/>
          <w:numId w:val="25"/>
        </w:numPr>
        <w:spacing w:after="0" w:line="240" w:lineRule="auto"/>
        <w:ind w:left="2520"/>
        <w:rPr>
          <w:rFonts w:ascii="Times New Roman" w:hAnsi="Times New Roman"/>
        </w:rPr>
      </w:pPr>
      <w:r w:rsidRPr="002F03A4">
        <w:rPr>
          <w:rFonts w:ascii="Times New Roman" w:hAnsi="Times New Roman"/>
        </w:rPr>
        <w:t>instructional design</w:t>
      </w:r>
    </w:p>
    <w:p w:rsidR="000509C0" w:rsidRPr="002F03A4" w:rsidRDefault="00517D42" w:rsidP="000509C0">
      <w:pPr>
        <w:numPr>
          <w:ilvl w:val="0"/>
          <w:numId w:val="25"/>
        </w:numPr>
        <w:spacing w:after="0" w:line="240" w:lineRule="auto"/>
        <w:ind w:left="2520"/>
        <w:rPr>
          <w:rFonts w:ascii="Times New Roman" w:hAnsi="Times New Roman"/>
        </w:rPr>
      </w:pPr>
      <w:r w:rsidRPr="002F03A4">
        <w:rPr>
          <w:rFonts w:ascii="Times New Roman" w:hAnsi="Times New Roman"/>
        </w:rPr>
        <w:t>reflective practice</w:t>
      </w:r>
      <w:r w:rsidR="000509C0" w:rsidRPr="002F03A4">
        <w:rPr>
          <w:rFonts w:ascii="Times New Roman" w:hAnsi="Times New Roman"/>
        </w:rPr>
        <w:t xml:space="preserve"> </w:t>
      </w:r>
    </w:p>
    <w:p w:rsidR="000509C0" w:rsidRPr="002F03A4" w:rsidRDefault="000509C0" w:rsidP="000509C0">
      <w:pPr>
        <w:tabs>
          <w:tab w:val="left" w:pos="1800"/>
        </w:tabs>
        <w:spacing w:after="0"/>
        <w:ind w:left="1800"/>
        <w:rPr>
          <w:rFonts w:ascii="Times New Roman" w:hAnsi="Times New Roman"/>
        </w:rPr>
      </w:pPr>
      <w:r w:rsidRPr="002F03A4">
        <w:rPr>
          <w:rFonts w:ascii="Times New Roman" w:hAnsi="Times New Roman"/>
        </w:rPr>
        <w:t xml:space="preserve">Academic advising is an important faculty role. For purposes of evaluation, it is considered under the teaching effectiveness area. Evidence of teaching effectiveness may include, but is not limited to: </w:t>
      </w:r>
    </w:p>
    <w:p w:rsidR="000509C0" w:rsidRPr="002F03A4" w:rsidRDefault="000509C0" w:rsidP="000509C0">
      <w:pPr>
        <w:numPr>
          <w:ilvl w:val="0"/>
          <w:numId w:val="26"/>
        </w:numPr>
        <w:spacing w:after="0" w:line="240" w:lineRule="auto"/>
        <w:ind w:left="2520"/>
        <w:rPr>
          <w:rFonts w:ascii="Times New Roman" w:hAnsi="Times New Roman"/>
        </w:rPr>
      </w:pPr>
      <w:r w:rsidRPr="002F03A4">
        <w:rPr>
          <w:rFonts w:ascii="Times New Roman" w:hAnsi="Times New Roman"/>
        </w:rPr>
        <w:t xml:space="preserve">teaching or student documents that demonstrate preparation for classes such as: effective communication with students; effective use of class time; encouragement of responsible, independent, analytic, or creative thought by students; academic demands appropriate for the level of the course; fair, careful, and prompt evaluation of student work; organization of materials; efforts to improve teaching skills and manifesting creativity and imagination in teaching performance; response to differences in student goals, strengths and weaknesses, and learning styles </w:t>
      </w:r>
    </w:p>
    <w:p w:rsidR="000509C0" w:rsidRPr="002F03A4" w:rsidRDefault="000509C0" w:rsidP="000509C0">
      <w:pPr>
        <w:numPr>
          <w:ilvl w:val="0"/>
          <w:numId w:val="26"/>
        </w:numPr>
        <w:spacing w:after="0" w:line="240" w:lineRule="auto"/>
        <w:ind w:left="2520"/>
        <w:rPr>
          <w:rFonts w:ascii="Times New Roman" w:hAnsi="Times New Roman"/>
        </w:rPr>
      </w:pPr>
      <w:r w:rsidRPr="002F03A4">
        <w:rPr>
          <w:rFonts w:ascii="Times New Roman" w:hAnsi="Times New Roman"/>
        </w:rPr>
        <w:t xml:space="preserve">classroom observations by peers </w:t>
      </w:r>
    </w:p>
    <w:p w:rsidR="000509C0" w:rsidRPr="002F03A4" w:rsidRDefault="000509C0" w:rsidP="000509C0">
      <w:pPr>
        <w:numPr>
          <w:ilvl w:val="0"/>
          <w:numId w:val="26"/>
        </w:numPr>
        <w:spacing w:after="0" w:line="240" w:lineRule="auto"/>
        <w:ind w:left="2520"/>
        <w:rPr>
          <w:rFonts w:ascii="Times New Roman" w:hAnsi="Times New Roman"/>
        </w:rPr>
      </w:pPr>
      <w:r w:rsidRPr="002F03A4">
        <w:rPr>
          <w:rFonts w:ascii="Times New Roman" w:hAnsi="Times New Roman"/>
        </w:rPr>
        <w:t xml:space="preserve">evidence of availability to students for out-of-class help </w:t>
      </w:r>
    </w:p>
    <w:p w:rsidR="000509C0" w:rsidRPr="002F03A4" w:rsidRDefault="000509C0" w:rsidP="000509C0">
      <w:pPr>
        <w:numPr>
          <w:ilvl w:val="0"/>
          <w:numId w:val="26"/>
        </w:numPr>
        <w:spacing w:after="0" w:line="240" w:lineRule="auto"/>
        <w:ind w:left="2520"/>
        <w:rPr>
          <w:rFonts w:ascii="Times New Roman" w:hAnsi="Times New Roman"/>
        </w:rPr>
      </w:pPr>
      <w:r w:rsidRPr="002F03A4">
        <w:rPr>
          <w:rFonts w:ascii="Times New Roman" w:hAnsi="Times New Roman"/>
        </w:rPr>
        <w:t xml:space="preserve">demonstration(s) of comprehensive, extensive, and current knowledge of subject areas </w:t>
      </w:r>
    </w:p>
    <w:p w:rsidR="000509C0" w:rsidRPr="002F03A4" w:rsidRDefault="000509C0" w:rsidP="000509C0">
      <w:pPr>
        <w:numPr>
          <w:ilvl w:val="0"/>
          <w:numId w:val="26"/>
        </w:numPr>
        <w:spacing w:after="0" w:line="240" w:lineRule="auto"/>
        <w:ind w:left="2520"/>
        <w:rPr>
          <w:rFonts w:ascii="Times New Roman" w:hAnsi="Times New Roman"/>
        </w:rPr>
      </w:pPr>
      <w:r w:rsidRPr="002F03A4">
        <w:rPr>
          <w:rFonts w:ascii="Times New Roman" w:hAnsi="Times New Roman"/>
        </w:rPr>
        <w:t xml:space="preserve">thoughtful reflection on teaching effectiveness </w:t>
      </w:r>
    </w:p>
    <w:p w:rsidR="000509C0" w:rsidRPr="002F03A4" w:rsidRDefault="000509C0" w:rsidP="000509C0">
      <w:pPr>
        <w:numPr>
          <w:ilvl w:val="0"/>
          <w:numId w:val="26"/>
        </w:numPr>
        <w:spacing w:after="0" w:line="240" w:lineRule="auto"/>
        <w:ind w:left="2520"/>
        <w:rPr>
          <w:rFonts w:ascii="Times New Roman" w:hAnsi="Times New Roman"/>
        </w:rPr>
      </w:pPr>
      <w:r w:rsidRPr="002F03A4">
        <w:rPr>
          <w:rFonts w:ascii="Times New Roman" w:hAnsi="Times New Roman"/>
        </w:rPr>
        <w:t xml:space="preserve">thoughtful consideration of student course evaluations and the use of that information in adaptation or improvement of teaching methods and materials </w:t>
      </w:r>
    </w:p>
    <w:p w:rsidR="000509C0" w:rsidRPr="002F03A4" w:rsidRDefault="000509C0" w:rsidP="000509C0">
      <w:pPr>
        <w:numPr>
          <w:ilvl w:val="0"/>
          <w:numId w:val="26"/>
        </w:numPr>
        <w:spacing w:after="0" w:line="240" w:lineRule="auto"/>
        <w:ind w:left="2520"/>
        <w:rPr>
          <w:rFonts w:ascii="Times New Roman" w:hAnsi="Times New Roman"/>
        </w:rPr>
      </w:pPr>
      <w:r w:rsidRPr="002F03A4">
        <w:rPr>
          <w:rFonts w:ascii="Times New Roman" w:hAnsi="Times New Roman"/>
        </w:rPr>
        <w:t xml:space="preserve">evidence of student learning </w:t>
      </w:r>
    </w:p>
    <w:p w:rsidR="000509C0" w:rsidRPr="002F03A4" w:rsidRDefault="000509C0" w:rsidP="000509C0">
      <w:pPr>
        <w:numPr>
          <w:ilvl w:val="0"/>
          <w:numId w:val="26"/>
        </w:numPr>
        <w:spacing w:after="0" w:line="240" w:lineRule="auto"/>
        <w:ind w:left="2520"/>
        <w:rPr>
          <w:rFonts w:ascii="Times New Roman" w:hAnsi="Times New Roman"/>
        </w:rPr>
      </w:pPr>
      <w:r w:rsidRPr="002F03A4">
        <w:rPr>
          <w:rFonts w:ascii="Times New Roman" w:hAnsi="Times New Roman"/>
        </w:rPr>
        <w:t xml:space="preserve">willing, conscientious, and effective academic advisement </w:t>
      </w:r>
    </w:p>
    <w:p w:rsidR="000509C0" w:rsidRPr="002F03A4" w:rsidRDefault="00517D42" w:rsidP="000509C0">
      <w:pPr>
        <w:numPr>
          <w:ilvl w:val="0"/>
          <w:numId w:val="26"/>
        </w:numPr>
        <w:spacing w:after="0" w:line="240" w:lineRule="auto"/>
        <w:ind w:left="2520"/>
        <w:rPr>
          <w:rFonts w:ascii="Times New Roman" w:hAnsi="Times New Roman"/>
        </w:rPr>
      </w:pPr>
      <w:r w:rsidRPr="002F03A4">
        <w:rPr>
          <w:rFonts w:ascii="Times New Roman" w:hAnsi="Times New Roman"/>
        </w:rPr>
        <w:t xml:space="preserve">developing </w:t>
      </w:r>
      <w:r w:rsidR="000509C0" w:rsidRPr="002F03A4">
        <w:rPr>
          <w:rFonts w:ascii="Times New Roman" w:hAnsi="Times New Roman"/>
        </w:rPr>
        <w:t xml:space="preserve">and teaching new classes </w:t>
      </w:r>
    </w:p>
    <w:p w:rsidR="000509C0" w:rsidRPr="002F03A4" w:rsidRDefault="000509C0" w:rsidP="000509C0">
      <w:pPr>
        <w:numPr>
          <w:ilvl w:val="0"/>
          <w:numId w:val="26"/>
        </w:numPr>
        <w:spacing w:after="0" w:line="240" w:lineRule="auto"/>
        <w:ind w:left="2520"/>
        <w:rPr>
          <w:rFonts w:ascii="Times New Roman" w:hAnsi="Times New Roman"/>
        </w:rPr>
      </w:pPr>
      <w:r w:rsidRPr="002F03A4">
        <w:rPr>
          <w:rFonts w:ascii="Times New Roman" w:hAnsi="Times New Roman"/>
        </w:rPr>
        <w:t xml:space="preserve">effective use of technology to </w:t>
      </w:r>
      <w:r w:rsidR="00517D42" w:rsidRPr="002F03A4">
        <w:rPr>
          <w:rFonts w:ascii="Times New Roman" w:hAnsi="Times New Roman"/>
        </w:rPr>
        <w:t>achieve</w:t>
      </w:r>
      <w:r w:rsidRPr="002F03A4">
        <w:rPr>
          <w:rFonts w:ascii="Times New Roman" w:hAnsi="Times New Roman"/>
        </w:rPr>
        <w:t xml:space="preserve"> learning objectives </w:t>
      </w:r>
    </w:p>
    <w:p w:rsidR="000509C0" w:rsidRPr="002F03A4" w:rsidRDefault="000509C0" w:rsidP="000509C0">
      <w:pPr>
        <w:numPr>
          <w:ilvl w:val="0"/>
          <w:numId w:val="27"/>
        </w:numPr>
        <w:spacing w:after="0"/>
        <w:ind w:left="1800"/>
        <w:rPr>
          <w:rFonts w:ascii="Times New Roman" w:hAnsi="Times New Roman"/>
          <w:b/>
          <w:i/>
        </w:rPr>
      </w:pPr>
      <w:r w:rsidRPr="002F03A4">
        <w:rPr>
          <w:rFonts w:ascii="Times New Roman" w:hAnsi="Times New Roman"/>
          <w:b/>
          <w:i/>
        </w:rPr>
        <w:t xml:space="preserve">Scholarship and Related Professional Activities </w:t>
      </w:r>
      <w:r w:rsidRPr="002F03A4">
        <w:rPr>
          <w:rFonts w:ascii="Times New Roman" w:hAnsi="Times New Roman"/>
        </w:rPr>
        <w:t xml:space="preserve">Faculty at all ranks at Keene State College are expected to be current in their academic field(s) and have a program of continuing intellectual growth and contribution. Scholarship can be usefully considered to have four subtypes: </w:t>
      </w:r>
    </w:p>
    <w:p w:rsidR="000509C0" w:rsidRPr="002F03A4" w:rsidRDefault="000509C0" w:rsidP="000509C0">
      <w:pPr>
        <w:numPr>
          <w:ilvl w:val="0"/>
          <w:numId w:val="28"/>
        </w:numPr>
        <w:spacing w:after="0" w:line="240" w:lineRule="auto"/>
        <w:ind w:left="2520"/>
        <w:rPr>
          <w:rFonts w:ascii="Times New Roman" w:hAnsi="Times New Roman"/>
        </w:rPr>
      </w:pPr>
      <w:r w:rsidRPr="002F03A4">
        <w:rPr>
          <w:rFonts w:ascii="Times New Roman" w:hAnsi="Times New Roman"/>
        </w:rPr>
        <w:t xml:space="preserve">scholarship of discovery – seeking and gaining new knowledge </w:t>
      </w:r>
    </w:p>
    <w:p w:rsidR="000509C0" w:rsidRPr="002F03A4" w:rsidRDefault="000509C0" w:rsidP="000509C0">
      <w:pPr>
        <w:numPr>
          <w:ilvl w:val="0"/>
          <w:numId w:val="28"/>
        </w:numPr>
        <w:spacing w:after="0" w:line="240" w:lineRule="auto"/>
        <w:ind w:left="2520"/>
        <w:rPr>
          <w:rFonts w:ascii="Times New Roman" w:hAnsi="Times New Roman"/>
        </w:rPr>
      </w:pPr>
      <w:r w:rsidRPr="002F03A4">
        <w:rPr>
          <w:rFonts w:ascii="Times New Roman" w:hAnsi="Times New Roman"/>
        </w:rPr>
        <w:t xml:space="preserve">scholarship of integration – seeking and gaining new understanding of existing information </w:t>
      </w:r>
    </w:p>
    <w:p w:rsidR="000509C0" w:rsidRPr="002F03A4" w:rsidRDefault="000509C0" w:rsidP="000509C0">
      <w:pPr>
        <w:numPr>
          <w:ilvl w:val="0"/>
          <w:numId w:val="28"/>
        </w:numPr>
        <w:spacing w:after="0" w:line="240" w:lineRule="auto"/>
        <w:ind w:left="2520"/>
        <w:rPr>
          <w:rFonts w:ascii="Times New Roman" w:hAnsi="Times New Roman"/>
        </w:rPr>
      </w:pPr>
      <w:r w:rsidRPr="002F03A4">
        <w:rPr>
          <w:rFonts w:ascii="Times New Roman" w:hAnsi="Times New Roman"/>
        </w:rPr>
        <w:t xml:space="preserve">scholarship of application – seeking and gaining success in the application and implementation of knowledge </w:t>
      </w:r>
    </w:p>
    <w:p w:rsidR="000509C0" w:rsidRPr="002F03A4" w:rsidRDefault="000509C0" w:rsidP="000509C0">
      <w:pPr>
        <w:numPr>
          <w:ilvl w:val="0"/>
          <w:numId w:val="28"/>
        </w:numPr>
        <w:spacing w:after="0" w:line="240" w:lineRule="auto"/>
        <w:ind w:left="2520"/>
        <w:rPr>
          <w:rFonts w:ascii="Times New Roman" w:hAnsi="Times New Roman"/>
        </w:rPr>
      </w:pPr>
      <w:r w:rsidRPr="002F03A4">
        <w:rPr>
          <w:rFonts w:ascii="Times New Roman" w:hAnsi="Times New Roman"/>
        </w:rPr>
        <w:t xml:space="preserve">scholarship of teaching – seeking, gaining, and applying knowledge about teaching and learning – including in one’s own teaching. </w:t>
      </w:r>
    </w:p>
    <w:p w:rsidR="000509C0" w:rsidRPr="002F03A4" w:rsidRDefault="000509C0" w:rsidP="000509C0">
      <w:pPr>
        <w:spacing w:after="0"/>
        <w:ind w:left="1800"/>
        <w:rPr>
          <w:rFonts w:ascii="Times New Roman" w:hAnsi="Times New Roman"/>
        </w:rPr>
      </w:pPr>
      <w:r w:rsidRPr="002F03A4">
        <w:rPr>
          <w:rFonts w:ascii="Times New Roman" w:hAnsi="Times New Roman"/>
        </w:rPr>
        <w:t xml:space="preserve">Expected characteristics of any form of scholarship are: </w:t>
      </w:r>
    </w:p>
    <w:p w:rsidR="000509C0" w:rsidRPr="002F03A4" w:rsidRDefault="000509C0" w:rsidP="000509C0">
      <w:pPr>
        <w:numPr>
          <w:ilvl w:val="1"/>
          <w:numId w:val="29"/>
        </w:numPr>
        <w:spacing w:after="0" w:line="240" w:lineRule="auto"/>
        <w:ind w:left="2520"/>
        <w:rPr>
          <w:rFonts w:ascii="Times New Roman" w:hAnsi="Times New Roman"/>
        </w:rPr>
      </w:pPr>
      <w:r w:rsidRPr="002F03A4">
        <w:rPr>
          <w:rFonts w:ascii="Times New Roman" w:hAnsi="Times New Roman"/>
        </w:rPr>
        <w:t xml:space="preserve">clear goals </w:t>
      </w:r>
    </w:p>
    <w:p w:rsidR="000509C0" w:rsidRPr="002F03A4" w:rsidRDefault="000509C0" w:rsidP="000509C0">
      <w:pPr>
        <w:numPr>
          <w:ilvl w:val="1"/>
          <w:numId w:val="29"/>
        </w:numPr>
        <w:spacing w:after="0" w:line="240" w:lineRule="auto"/>
        <w:ind w:left="2520"/>
        <w:rPr>
          <w:rFonts w:ascii="Times New Roman" w:hAnsi="Times New Roman"/>
        </w:rPr>
      </w:pPr>
      <w:r w:rsidRPr="002F03A4">
        <w:rPr>
          <w:rFonts w:ascii="Times New Roman" w:hAnsi="Times New Roman"/>
        </w:rPr>
        <w:t xml:space="preserve">adequate preparation </w:t>
      </w:r>
    </w:p>
    <w:p w:rsidR="000509C0" w:rsidRPr="002F03A4" w:rsidRDefault="000509C0" w:rsidP="000509C0">
      <w:pPr>
        <w:numPr>
          <w:ilvl w:val="1"/>
          <w:numId w:val="29"/>
        </w:numPr>
        <w:spacing w:after="0" w:line="240" w:lineRule="auto"/>
        <w:ind w:left="2520"/>
        <w:rPr>
          <w:rFonts w:ascii="Times New Roman" w:hAnsi="Times New Roman"/>
        </w:rPr>
      </w:pPr>
      <w:r w:rsidRPr="002F03A4">
        <w:rPr>
          <w:rFonts w:ascii="Times New Roman" w:hAnsi="Times New Roman"/>
        </w:rPr>
        <w:t xml:space="preserve">appropriate methods </w:t>
      </w:r>
    </w:p>
    <w:p w:rsidR="000509C0" w:rsidRPr="002F03A4" w:rsidRDefault="000509C0" w:rsidP="000509C0">
      <w:pPr>
        <w:numPr>
          <w:ilvl w:val="1"/>
          <w:numId w:val="29"/>
        </w:numPr>
        <w:spacing w:after="0" w:line="240" w:lineRule="auto"/>
        <w:ind w:left="2520"/>
        <w:rPr>
          <w:rFonts w:ascii="Times New Roman" w:hAnsi="Times New Roman"/>
        </w:rPr>
      </w:pPr>
      <w:r w:rsidRPr="002F03A4">
        <w:rPr>
          <w:rFonts w:ascii="Times New Roman" w:hAnsi="Times New Roman"/>
        </w:rPr>
        <w:t xml:space="preserve">significant results </w:t>
      </w:r>
    </w:p>
    <w:p w:rsidR="000509C0" w:rsidRPr="002F03A4" w:rsidRDefault="000509C0" w:rsidP="000509C0">
      <w:pPr>
        <w:numPr>
          <w:ilvl w:val="1"/>
          <w:numId w:val="29"/>
        </w:numPr>
        <w:spacing w:after="0" w:line="240" w:lineRule="auto"/>
        <w:ind w:left="2520"/>
        <w:rPr>
          <w:rFonts w:ascii="Times New Roman" w:hAnsi="Times New Roman"/>
        </w:rPr>
      </w:pPr>
      <w:r w:rsidRPr="002F03A4">
        <w:rPr>
          <w:rFonts w:ascii="Times New Roman" w:hAnsi="Times New Roman"/>
        </w:rPr>
        <w:t>appropriate and effective presentation</w:t>
      </w:r>
    </w:p>
    <w:p w:rsidR="000509C0" w:rsidRPr="002F03A4" w:rsidRDefault="000509C0" w:rsidP="000509C0">
      <w:pPr>
        <w:numPr>
          <w:ilvl w:val="1"/>
          <w:numId w:val="29"/>
        </w:numPr>
        <w:spacing w:after="0" w:line="240" w:lineRule="auto"/>
        <w:ind w:left="2520"/>
        <w:rPr>
          <w:rFonts w:ascii="Times New Roman" w:hAnsi="Times New Roman"/>
        </w:rPr>
      </w:pPr>
      <w:r w:rsidRPr="002F03A4">
        <w:rPr>
          <w:rFonts w:ascii="Times New Roman" w:hAnsi="Times New Roman"/>
        </w:rPr>
        <w:t xml:space="preserve">reflective critique </w:t>
      </w:r>
    </w:p>
    <w:p w:rsidR="000509C0" w:rsidRPr="002F03A4" w:rsidRDefault="000509C0" w:rsidP="000509C0">
      <w:pPr>
        <w:spacing w:after="0"/>
        <w:ind w:left="1800"/>
        <w:rPr>
          <w:rFonts w:ascii="Times New Roman" w:hAnsi="Times New Roman"/>
        </w:rPr>
      </w:pPr>
      <w:r w:rsidRPr="002F03A4">
        <w:rPr>
          <w:rFonts w:ascii="Times New Roman" w:hAnsi="Times New Roman"/>
        </w:rPr>
        <w:lastRenderedPageBreak/>
        <w:t xml:space="preserve">Professional activities within scholarly organizations will be considered within this area, but do not substitute for a program of continuing intellectual growth and contribution. Evidence of scholarship and related professional activities may include, but is not limited to: </w:t>
      </w:r>
    </w:p>
    <w:p w:rsidR="000509C0" w:rsidRPr="002F03A4" w:rsidRDefault="000509C0" w:rsidP="000509C0">
      <w:pPr>
        <w:numPr>
          <w:ilvl w:val="1"/>
          <w:numId w:val="31"/>
        </w:numPr>
        <w:spacing w:after="0" w:line="240" w:lineRule="auto"/>
        <w:ind w:left="2520"/>
        <w:rPr>
          <w:rFonts w:ascii="Times New Roman" w:hAnsi="Times New Roman"/>
        </w:rPr>
      </w:pPr>
      <w:r w:rsidRPr="002F03A4">
        <w:rPr>
          <w:rFonts w:ascii="Times New Roman" w:hAnsi="Times New Roman"/>
        </w:rPr>
        <w:t xml:space="preserve">publications – scholarly books and professional journal articles </w:t>
      </w:r>
    </w:p>
    <w:p w:rsidR="000509C0" w:rsidRPr="002F03A4" w:rsidRDefault="000509C0" w:rsidP="000509C0">
      <w:pPr>
        <w:numPr>
          <w:ilvl w:val="1"/>
          <w:numId w:val="31"/>
        </w:numPr>
        <w:spacing w:after="0" w:line="240" w:lineRule="auto"/>
        <w:ind w:left="2520"/>
        <w:rPr>
          <w:rFonts w:ascii="Times New Roman" w:hAnsi="Times New Roman"/>
        </w:rPr>
      </w:pPr>
      <w:r w:rsidRPr="002F03A4">
        <w:rPr>
          <w:rFonts w:ascii="Times New Roman" w:hAnsi="Times New Roman"/>
        </w:rPr>
        <w:t xml:space="preserve">research projects in progress with documentation </w:t>
      </w:r>
    </w:p>
    <w:p w:rsidR="000509C0" w:rsidRPr="002F03A4" w:rsidRDefault="000509C0" w:rsidP="000509C0">
      <w:pPr>
        <w:numPr>
          <w:ilvl w:val="1"/>
          <w:numId w:val="31"/>
        </w:numPr>
        <w:spacing w:after="0" w:line="240" w:lineRule="auto"/>
        <w:ind w:left="2520"/>
        <w:rPr>
          <w:rFonts w:ascii="Times New Roman" w:hAnsi="Times New Roman"/>
        </w:rPr>
      </w:pPr>
      <w:r w:rsidRPr="002F03A4">
        <w:rPr>
          <w:rFonts w:ascii="Times New Roman" w:hAnsi="Times New Roman"/>
        </w:rPr>
        <w:t xml:space="preserve">awards for scholarship </w:t>
      </w:r>
    </w:p>
    <w:p w:rsidR="000509C0" w:rsidRPr="002F03A4" w:rsidRDefault="000509C0" w:rsidP="000509C0">
      <w:pPr>
        <w:numPr>
          <w:ilvl w:val="1"/>
          <w:numId w:val="31"/>
        </w:numPr>
        <w:spacing w:after="0" w:line="240" w:lineRule="auto"/>
        <w:ind w:left="2520"/>
        <w:rPr>
          <w:rFonts w:ascii="Times New Roman" w:hAnsi="Times New Roman"/>
        </w:rPr>
      </w:pPr>
      <w:r w:rsidRPr="002F03A4">
        <w:rPr>
          <w:rFonts w:ascii="Times New Roman" w:hAnsi="Times New Roman"/>
        </w:rPr>
        <w:t xml:space="preserve">creative productions and performances or other uses of professional skills </w:t>
      </w:r>
    </w:p>
    <w:p w:rsidR="000509C0" w:rsidRPr="002F03A4" w:rsidRDefault="000509C0" w:rsidP="000509C0">
      <w:pPr>
        <w:numPr>
          <w:ilvl w:val="1"/>
          <w:numId w:val="31"/>
        </w:numPr>
        <w:spacing w:after="0" w:line="240" w:lineRule="auto"/>
        <w:ind w:left="2520"/>
        <w:rPr>
          <w:rFonts w:ascii="Times New Roman" w:hAnsi="Times New Roman"/>
        </w:rPr>
      </w:pPr>
      <w:r w:rsidRPr="002F03A4">
        <w:rPr>
          <w:rFonts w:ascii="Times New Roman" w:hAnsi="Times New Roman"/>
        </w:rPr>
        <w:t xml:space="preserve">designing and developing curricula requiring mastery of new subject matter </w:t>
      </w:r>
    </w:p>
    <w:p w:rsidR="000509C0" w:rsidRPr="002F03A4" w:rsidRDefault="000509C0" w:rsidP="000509C0">
      <w:pPr>
        <w:numPr>
          <w:ilvl w:val="1"/>
          <w:numId w:val="31"/>
        </w:numPr>
        <w:spacing w:after="0" w:line="240" w:lineRule="auto"/>
        <w:ind w:left="2520"/>
        <w:rPr>
          <w:rFonts w:ascii="Times New Roman" w:hAnsi="Times New Roman"/>
        </w:rPr>
      </w:pPr>
      <w:r w:rsidRPr="002F03A4">
        <w:rPr>
          <w:rFonts w:ascii="Times New Roman" w:hAnsi="Times New Roman"/>
        </w:rPr>
        <w:t xml:space="preserve">organization and/or participation in faculty study groups </w:t>
      </w:r>
    </w:p>
    <w:p w:rsidR="000509C0" w:rsidRPr="002F03A4" w:rsidRDefault="000509C0" w:rsidP="000509C0">
      <w:pPr>
        <w:numPr>
          <w:ilvl w:val="1"/>
          <w:numId w:val="31"/>
        </w:numPr>
        <w:spacing w:after="0" w:line="240" w:lineRule="auto"/>
        <w:ind w:left="2520"/>
        <w:rPr>
          <w:rFonts w:ascii="Times New Roman" w:hAnsi="Times New Roman"/>
        </w:rPr>
      </w:pPr>
      <w:r w:rsidRPr="002F03A4">
        <w:rPr>
          <w:rFonts w:ascii="Times New Roman" w:hAnsi="Times New Roman"/>
        </w:rPr>
        <w:t xml:space="preserve">fellowships, post-doctoral work </w:t>
      </w:r>
    </w:p>
    <w:p w:rsidR="000509C0" w:rsidRPr="002F03A4" w:rsidRDefault="000509C0" w:rsidP="000509C0">
      <w:pPr>
        <w:numPr>
          <w:ilvl w:val="1"/>
          <w:numId w:val="31"/>
        </w:numPr>
        <w:spacing w:after="0" w:line="240" w:lineRule="auto"/>
        <w:ind w:left="2520"/>
        <w:rPr>
          <w:rFonts w:ascii="Times New Roman" w:hAnsi="Times New Roman"/>
        </w:rPr>
      </w:pPr>
      <w:r w:rsidRPr="002F03A4">
        <w:rPr>
          <w:rFonts w:ascii="Times New Roman" w:hAnsi="Times New Roman"/>
        </w:rPr>
        <w:t xml:space="preserve">presentations at professional meetings: state, regional, national </w:t>
      </w:r>
    </w:p>
    <w:p w:rsidR="000509C0" w:rsidRPr="002F03A4" w:rsidRDefault="000509C0" w:rsidP="000509C0">
      <w:pPr>
        <w:numPr>
          <w:ilvl w:val="1"/>
          <w:numId w:val="31"/>
        </w:numPr>
        <w:spacing w:after="0" w:line="240" w:lineRule="auto"/>
        <w:ind w:left="2520"/>
        <w:rPr>
          <w:rFonts w:ascii="Times New Roman" w:hAnsi="Times New Roman"/>
        </w:rPr>
      </w:pPr>
      <w:r w:rsidRPr="002F03A4">
        <w:rPr>
          <w:rFonts w:ascii="Times New Roman" w:hAnsi="Times New Roman"/>
        </w:rPr>
        <w:t xml:space="preserve">scholarly presentations as professional enrichment programs (may be service to the College depending on content) </w:t>
      </w:r>
    </w:p>
    <w:p w:rsidR="000509C0" w:rsidRPr="002F03A4" w:rsidRDefault="000509C0" w:rsidP="000509C0">
      <w:pPr>
        <w:numPr>
          <w:ilvl w:val="1"/>
          <w:numId w:val="31"/>
        </w:numPr>
        <w:spacing w:after="0" w:line="240" w:lineRule="auto"/>
        <w:ind w:left="2520"/>
        <w:rPr>
          <w:rFonts w:ascii="Times New Roman" w:hAnsi="Times New Roman"/>
        </w:rPr>
      </w:pPr>
      <w:r w:rsidRPr="002F03A4">
        <w:rPr>
          <w:rFonts w:ascii="Times New Roman" w:hAnsi="Times New Roman"/>
        </w:rPr>
        <w:t xml:space="preserve">office in professional organization(s) </w:t>
      </w:r>
    </w:p>
    <w:p w:rsidR="000509C0" w:rsidRPr="002F03A4" w:rsidRDefault="000509C0" w:rsidP="000509C0">
      <w:pPr>
        <w:numPr>
          <w:ilvl w:val="1"/>
          <w:numId w:val="31"/>
        </w:numPr>
        <w:spacing w:after="0" w:line="240" w:lineRule="auto"/>
        <w:ind w:left="2520"/>
        <w:rPr>
          <w:rFonts w:ascii="Times New Roman" w:hAnsi="Times New Roman"/>
        </w:rPr>
      </w:pPr>
      <w:r w:rsidRPr="002F03A4">
        <w:rPr>
          <w:rFonts w:ascii="Times New Roman" w:hAnsi="Times New Roman"/>
        </w:rPr>
        <w:t xml:space="preserve">other participation in affairs of professional organizations </w:t>
      </w:r>
    </w:p>
    <w:p w:rsidR="000509C0" w:rsidRPr="002F03A4" w:rsidRDefault="000509C0" w:rsidP="000509C0">
      <w:pPr>
        <w:numPr>
          <w:ilvl w:val="1"/>
          <w:numId w:val="31"/>
        </w:numPr>
        <w:spacing w:after="0" w:line="240" w:lineRule="auto"/>
        <w:ind w:left="2520"/>
        <w:rPr>
          <w:rFonts w:ascii="Times New Roman" w:hAnsi="Times New Roman"/>
        </w:rPr>
      </w:pPr>
      <w:r w:rsidRPr="002F03A4">
        <w:rPr>
          <w:rFonts w:ascii="Times New Roman" w:hAnsi="Times New Roman"/>
        </w:rPr>
        <w:t xml:space="preserve">service as editor or editorial committee member of a professional journal or for book(s), or as a reviewer </w:t>
      </w:r>
    </w:p>
    <w:p w:rsidR="000509C0" w:rsidRPr="002F03A4" w:rsidRDefault="000509C0" w:rsidP="000509C0">
      <w:pPr>
        <w:numPr>
          <w:ilvl w:val="1"/>
          <w:numId w:val="31"/>
        </w:numPr>
        <w:spacing w:after="0" w:line="240" w:lineRule="auto"/>
        <w:ind w:left="2520"/>
        <w:rPr>
          <w:rFonts w:ascii="Times New Roman" w:hAnsi="Times New Roman"/>
        </w:rPr>
      </w:pPr>
      <w:r w:rsidRPr="002F03A4">
        <w:rPr>
          <w:rFonts w:ascii="Times New Roman" w:hAnsi="Times New Roman"/>
        </w:rPr>
        <w:t xml:space="preserve">service on accreditation teams at other institutions </w:t>
      </w:r>
    </w:p>
    <w:p w:rsidR="000509C0" w:rsidRPr="002F03A4" w:rsidRDefault="000509C0" w:rsidP="000509C0">
      <w:pPr>
        <w:numPr>
          <w:ilvl w:val="1"/>
          <w:numId w:val="31"/>
        </w:numPr>
        <w:spacing w:after="0" w:line="240" w:lineRule="auto"/>
        <w:ind w:left="2520"/>
        <w:rPr>
          <w:rFonts w:ascii="Times New Roman" w:hAnsi="Times New Roman"/>
        </w:rPr>
      </w:pPr>
      <w:r w:rsidRPr="002F03A4">
        <w:rPr>
          <w:rFonts w:ascii="Times New Roman" w:hAnsi="Times New Roman"/>
        </w:rPr>
        <w:t xml:space="preserve">scholarly consulting or grant writing </w:t>
      </w:r>
    </w:p>
    <w:p w:rsidR="000509C0" w:rsidRPr="002F03A4" w:rsidRDefault="000509C0" w:rsidP="000509C0">
      <w:pPr>
        <w:numPr>
          <w:ilvl w:val="1"/>
          <w:numId w:val="31"/>
        </w:numPr>
        <w:spacing w:after="0" w:line="240" w:lineRule="auto"/>
        <w:ind w:left="2520"/>
        <w:rPr>
          <w:rFonts w:ascii="Times New Roman" w:hAnsi="Times New Roman"/>
        </w:rPr>
      </w:pPr>
      <w:r w:rsidRPr="002F03A4">
        <w:rPr>
          <w:rFonts w:ascii="Times New Roman" w:hAnsi="Times New Roman"/>
        </w:rPr>
        <w:t xml:space="preserve">adapting or advancing the use of technology in one’s discipline </w:t>
      </w:r>
    </w:p>
    <w:p w:rsidR="000509C0" w:rsidRPr="002F03A4" w:rsidRDefault="000509C0" w:rsidP="000509C0">
      <w:pPr>
        <w:numPr>
          <w:ilvl w:val="0"/>
          <w:numId w:val="32"/>
        </w:numPr>
        <w:spacing w:after="0"/>
        <w:ind w:left="1800"/>
        <w:rPr>
          <w:rFonts w:ascii="Times New Roman" w:hAnsi="Times New Roman"/>
          <w:b/>
          <w:i/>
        </w:rPr>
      </w:pPr>
      <w:r w:rsidRPr="002F03A4">
        <w:rPr>
          <w:rFonts w:ascii="Times New Roman" w:hAnsi="Times New Roman"/>
          <w:b/>
          <w:i/>
        </w:rPr>
        <w:t xml:space="preserve">Service to the College (including service to the community in a professional capacity) </w:t>
      </w:r>
      <w:r w:rsidRPr="002F03A4">
        <w:rPr>
          <w:rFonts w:ascii="Times New Roman" w:hAnsi="Times New Roman"/>
        </w:rPr>
        <w:t>All faculty members are expected to be participants in the intellectual and organizational life of Keene State College. Some of that participation will be as a general citiz</w:t>
      </w:r>
      <w:r w:rsidR="005B045C" w:rsidRPr="002F03A4">
        <w:rPr>
          <w:rFonts w:ascii="Times New Roman" w:hAnsi="Times New Roman"/>
        </w:rPr>
        <w:t>en of the Keene State community, while</w:t>
      </w:r>
      <w:r w:rsidRPr="002F03A4">
        <w:rPr>
          <w:rFonts w:ascii="Times New Roman" w:hAnsi="Times New Roman"/>
        </w:rPr>
        <w:t xml:space="preserve"> some may be grounded in the individual’s professional expertise. Many faculty members provide service to the community beyond the College in a capacity that directly utilizes their professional expertise. Such service, while not a replacement for service to the College, will be considered in this area. New faculty must simultaneously attend to demands of new teaching responsibilities and sustain scholarly interests at the same time that they are gaining familiarity with the people, systems, and culture of Keene State. Given the priority of teaching effectiveness, evaluation of faculty in their first two years will focus only on the quality of contribution to the work of one non-disciplinary committee. Interested faculty members are encouraged to participate in service activities to the extent of their interest; but, evaluation will be based solely on their contribution in the one committee they identify. Evidence of service to the College should include not only note of membership or participation, but also evidence of the faculty member’s role and contribution. Quantity is less important than quality of service. Service to the College may include, but is not limited to: </w:t>
      </w:r>
    </w:p>
    <w:p w:rsidR="000509C0" w:rsidRPr="002F03A4" w:rsidRDefault="000509C0" w:rsidP="000509C0">
      <w:pPr>
        <w:numPr>
          <w:ilvl w:val="1"/>
          <w:numId w:val="33"/>
        </w:numPr>
        <w:spacing w:after="0" w:line="240" w:lineRule="auto"/>
        <w:ind w:left="2520"/>
        <w:rPr>
          <w:rFonts w:ascii="Times New Roman" w:hAnsi="Times New Roman"/>
        </w:rPr>
      </w:pPr>
      <w:r w:rsidRPr="002F03A4">
        <w:rPr>
          <w:rFonts w:ascii="Times New Roman" w:hAnsi="Times New Roman"/>
        </w:rPr>
        <w:t xml:space="preserve">aid to colleagues as guest lecturer or resource person </w:t>
      </w:r>
    </w:p>
    <w:p w:rsidR="000509C0" w:rsidRPr="002F03A4" w:rsidRDefault="000509C0" w:rsidP="000509C0">
      <w:pPr>
        <w:numPr>
          <w:ilvl w:val="1"/>
          <w:numId w:val="33"/>
        </w:numPr>
        <w:spacing w:after="0" w:line="240" w:lineRule="auto"/>
        <w:ind w:left="2520"/>
        <w:rPr>
          <w:rFonts w:ascii="Times New Roman" w:hAnsi="Times New Roman"/>
        </w:rPr>
      </w:pPr>
      <w:r w:rsidRPr="002F03A4">
        <w:rPr>
          <w:rFonts w:ascii="Times New Roman" w:hAnsi="Times New Roman"/>
        </w:rPr>
        <w:t xml:space="preserve">college committee service </w:t>
      </w:r>
    </w:p>
    <w:p w:rsidR="000509C0" w:rsidRPr="002F03A4" w:rsidRDefault="000509C0" w:rsidP="000509C0">
      <w:pPr>
        <w:numPr>
          <w:ilvl w:val="1"/>
          <w:numId w:val="33"/>
        </w:numPr>
        <w:spacing w:after="0" w:line="240" w:lineRule="auto"/>
        <w:ind w:left="2520"/>
        <w:rPr>
          <w:rFonts w:ascii="Times New Roman" w:hAnsi="Times New Roman"/>
        </w:rPr>
      </w:pPr>
      <w:r w:rsidRPr="002F03A4">
        <w:rPr>
          <w:rFonts w:ascii="Times New Roman" w:hAnsi="Times New Roman"/>
        </w:rPr>
        <w:t xml:space="preserve">designing and developing new curricula </w:t>
      </w:r>
    </w:p>
    <w:p w:rsidR="000509C0" w:rsidRPr="002F03A4" w:rsidRDefault="000509C0" w:rsidP="000509C0">
      <w:pPr>
        <w:numPr>
          <w:ilvl w:val="1"/>
          <w:numId w:val="33"/>
        </w:numPr>
        <w:spacing w:after="0" w:line="240" w:lineRule="auto"/>
        <w:ind w:left="2520"/>
        <w:rPr>
          <w:rFonts w:ascii="Times New Roman" w:hAnsi="Times New Roman"/>
        </w:rPr>
      </w:pPr>
      <w:r w:rsidRPr="002F03A4">
        <w:rPr>
          <w:rFonts w:ascii="Times New Roman" w:hAnsi="Times New Roman"/>
        </w:rPr>
        <w:t xml:space="preserve">school or department committee service </w:t>
      </w:r>
    </w:p>
    <w:p w:rsidR="000509C0" w:rsidRPr="002F03A4" w:rsidRDefault="000509C0" w:rsidP="000509C0">
      <w:pPr>
        <w:numPr>
          <w:ilvl w:val="1"/>
          <w:numId w:val="33"/>
        </w:numPr>
        <w:spacing w:after="0" w:line="240" w:lineRule="auto"/>
        <w:ind w:left="2520"/>
        <w:rPr>
          <w:rFonts w:ascii="Times New Roman" w:hAnsi="Times New Roman"/>
        </w:rPr>
      </w:pPr>
      <w:r w:rsidRPr="002F03A4">
        <w:rPr>
          <w:rFonts w:ascii="Times New Roman" w:hAnsi="Times New Roman"/>
        </w:rPr>
        <w:t xml:space="preserve">other contributions to the College – special projects or roles, including reassignments </w:t>
      </w:r>
    </w:p>
    <w:p w:rsidR="000509C0" w:rsidRPr="002F03A4" w:rsidRDefault="000509C0" w:rsidP="000509C0">
      <w:pPr>
        <w:numPr>
          <w:ilvl w:val="1"/>
          <w:numId w:val="33"/>
        </w:numPr>
        <w:spacing w:after="0" w:line="240" w:lineRule="auto"/>
        <w:ind w:left="2520"/>
        <w:rPr>
          <w:rFonts w:ascii="Times New Roman" w:hAnsi="Times New Roman"/>
        </w:rPr>
      </w:pPr>
      <w:r w:rsidRPr="002F03A4">
        <w:rPr>
          <w:rFonts w:ascii="Times New Roman" w:hAnsi="Times New Roman"/>
        </w:rPr>
        <w:t xml:space="preserve">other service to the school or discipline – special projects or roles </w:t>
      </w:r>
    </w:p>
    <w:p w:rsidR="000509C0" w:rsidRPr="002F03A4" w:rsidRDefault="000509C0" w:rsidP="000509C0">
      <w:pPr>
        <w:numPr>
          <w:ilvl w:val="1"/>
          <w:numId w:val="33"/>
        </w:numPr>
        <w:spacing w:after="0" w:line="240" w:lineRule="auto"/>
        <w:ind w:left="2520"/>
        <w:rPr>
          <w:rFonts w:ascii="Times New Roman" w:hAnsi="Times New Roman"/>
        </w:rPr>
      </w:pPr>
      <w:r w:rsidRPr="002F03A4">
        <w:rPr>
          <w:rFonts w:ascii="Times New Roman" w:hAnsi="Times New Roman"/>
        </w:rPr>
        <w:t xml:space="preserve">system or consortium committees </w:t>
      </w:r>
    </w:p>
    <w:p w:rsidR="000509C0" w:rsidRPr="002F03A4" w:rsidRDefault="000509C0" w:rsidP="000509C0">
      <w:pPr>
        <w:numPr>
          <w:ilvl w:val="1"/>
          <w:numId w:val="33"/>
        </w:numPr>
        <w:spacing w:after="0" w:line="240" w:lineRule="auto"/>
        <w:ind w:left="2520"/>
        <w:rPr>
          <w:rFonts w:ascii="Times New Roman" w:hAnsi="Times New Roman"/>
        </w:rPr>
      </w:pPr>
      <w:r w:rsidRPr="002F03A4">
        <w:rPr>
          <w:rFonts w:ascii="Times New Roman" w:hAnsi="Times New Roman"/>
        </w:rPr>
        <w:t xml:space="preserve">pursuit of, acquisition of, and/or administration of grants </w:t>
      </w:r>
    </w:p>
    <w:p w:rsidR="000509C0" w:rsidRPr="002F03A4" w:rsidRDefault="000509C0" w:rsidP="000509C0">
      <w:pPr>
        <w:numPr>
          <w:ilvl w:val="1"/>
          <w:numId w:val="33"/>
        </w:numPr>
        <w:spacing w:after="0" w:line="240" w:lineRule="auto"/>
        <w:ind w:left="2520"/>
        <w:rPr>
          <w:rFonts w:ascii="Times New Roman" w:hAnsi="Times New Roman"/>
        </w:rPr>
      </w:pPr>
      <w:r w:rsidRPr="002F03A4">
        <w:rPr>
          <w:rFonts w:ascii="Times New Roman" w:hAnsi="Times New Roman"/>
        </w:rPr>
        <w:t xml:space="preserve">service on accreditation teams for College programs </w:t>
      </w:r>
    </w:p>
    <w:p w:rsidR="000509C0" w:rsidRPr="002F03A4" w:rsidRDefault="000509C0" w:rsidP="000509C0">
      <w:pPr>
        <w:numPr>
          <w:ilvl w:val="1"/>
          <w:numId w:val="33"/>
        </w:numPr>
        <w:spacing w:after="0" w:line="240" w:lineRule="auto"/>
        <w:ind w:left="2520"/>
        <w:rPr>
          <w:rFonts w:ascii="Times New Roman" w:hAnsi="Times New Roman"/>
        </w:rPr>
      </w:pPr>
      <w:r w:rsidRPr="002F03A4">
        <w:rPr>
          <w:rFonts w:ascii="Times New Roman" w:hAnsi="Times New Roman"/>
        </w:rPr>
        <w:t xml:space="preserve">leadership roles within the College (e.g., KSCEA, department chair, leadership roles on major committees, or other positions) </w:t>
      </w:r>
    </w:p>
    <w:p w:rsidR="000509C0" w:rsidRPr="002F03A4" w:rsidRDefault="000509C0" w:rsidP="000509C0">
      <w:pPr>
        <w:numPr>
          <w:ilvl w:val="1"/>
          <w:numId w:val="33"/>
        </w:numPr>
        <w:spacing w:after="0" w:line="240" w:lineRule="auto"/>
        <w:ind w:left="2520"/>
        <w:rPr>
          <w:rFonts w:ascii="Times New Roman" w:hAnsi="Times New Roman"/>
        </w:rPr>
      </w:pPr>
      <w:r w:rsidRPr="002F03A4">
        <w:rPr>
          <w:rFonts w:ascii="Times New Roman" w:hAnsi="Times New Roman"/>
        </w:rPr>
        <w:t xml:space="preserve">contributions of professional expertise to the community (paid or unpaid) </w:t>
      </w:r>
    </w:p>
    <w:p w:rsidR="000509C0" w:rsidRPr="002F03A4" w:rsidRDefault="000509C0" w:rsidP="000509C0">
      <w:pPr>
        <w:numPr>
          <w:ilvl w:val="1"/>
          <w:numId w:val="33"/>
        </w:numPr>
        <w:spacing w:after="0" w:line="240" w:lineRule="auto"/>
        <w:ind w:left="2520"/>
        <w:rPr>
          <w:rFonts w:ascii="Times New Roman" w:hAnsi="Times New Roman"/>
        </w:rPr>
      </w:pPr>
      <w:r w:rsidRPr="002F03A4">
        <w:rPr>
          <w:rFonts w:ascii="Times New Roman" w:hAnsi="Times New Roman"/>
        </w:rPr>
        <w:t xml:space="preserve">technology support in the College or the department beyond requirements of courses taught (e.g., computer laboratory support) </w:t>
      </w:r>
    </w:p>
    <w:p w:rsidR="00760B14" w:rsidRPr="002F03A4" w:rsidRDefault="00760B14">
      <w:pPr>
        <w:rPr>
          <w:rFonts w:ascii="Times New Roman" w:hAnsi="Times New Roman"/>
        </w:rPr>
      </w:pPr>
    </w:p>
    <w:sectPr w:rsidR="00760B14" w:rsidRPr="002F03A4" w:rsidSect="000509C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A56" w:rsidRDefault="00690A56" w:rsidP="005A3401">
      <w:pPr>
        <w:spacing w:after="0" w:line="240" w:lineRule="auto"/>
      </w:pPr>
      <w:r>
        <w:separator/>
      </w:r>
    </w:p>
  </w:endnote>
  <w:endnote w:type="continuationSeparator" w:id="0">
    <w:p w:rsidR="00690A56" w:rsidRDefault="00690A56" w:rsidP="005A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C23" w:rsidRDefault="00690A56">
    <w:pPr>
      <w:pStyle w:val="Footer"/>
      <w:jc w:val="right"/>
    </w:pPr>
    <w:r>
      <w:fldChar w:fldCharType="begin"/>
    </w:r>
    <w:r>
      <w:instrText xml:space="preserve"> PAGE   \* MERGEFORMAT </w:instrText>
    </w:r>
    <w:r>
      <w:fldChar w:fldCharType="separate"/>
    </w:r>
    <w:r w:rsidR="001356D4">
      <w:rPr>
        <w:noProof/>
      </w:rPr>
      <w:t>1</w:t>
    </w:r>
    <w:r>
      <w:rPr>
        <w:noProof/>
      </w:rPr>
      <w:fldChar w:fldCharType="end"/>
    </w:r>
  </w:p>
  <w:p w:rsidR="00782C23" w:rsidRDefault="00782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A56" w:rsidRDefault="00690A56" w:rsidP="005A3401">
      <w:pPr>
        <w:spacing w:after="0" w:line="240" w:lineRule="auto"/>
      </w:pPr>
      <w:r>
        <w:separator/>
      </w:r>
    </w:p>
  </w:footnote>
  <w:footnote w:type="continuationSeparator" w:id="0">
    <w:p w:rsidR="00690A56" w:rsidRDefault="00690A56" w:rsidP="005A3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721"/>
    <w:multiLevelType w:val="hybridMultilevel"/>
    <w:tmpl w:val="A44C7A26"/>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2C020E9"/>
    <w:multiLevelType w:val="hybridMultilevel"/>
    <w:tmpl w:val="7BDC3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A564E"/>
    <w:multiLevelType w:val="hybridMultilevel"/>
    <w:tmpl w:val="7E40C804"/>
    <w:lvl w:ilvl="0" w:tplc="04090019">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8666DD"/>
    <w:multiLevelType w:val="hybridMultilevel"/>
    <w:tmpl w:val="D5688B8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76908"/>
    <w:multiLevelType w:val="hybridMultilevel"/>
    <w:tmpl w:val="693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E1A93"/>
    <w:multiLevelType w:val="hybridMultilevel"/>
    <w:tmpl w:val="3BEE7C9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43D8F"/>
    <w:multiLevelType w:val="hybridMultilevel"/>
    <w:tmpl w:val="8EA8379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62D23"/>
    <w:multiLevelType w:val="hybridMultilevel"/>
    <w:tmpl w:val="A27C0A6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D5BF5"/>
    <w:multiLevelType w:val="hybridMultilevel"/>
    <w:tmpl w:val="12581F34"/>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65F13"/>
    <w:multiLevelType w:val="hybridMultilevel"/>
    <w:tmpl w:val="28F813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E136D"/>
    <w:multiLevelType w:val="hybridMultilevel"/>
    <w:tmpl w:val="F12CBB30"/>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1" w15:restartNumberingAfterBreak="0">
    <w:nsid w:val="35FC4BEB"/>
    <w:multiLevelType w:val="hybridMultilevel"/>
    <w:tmpl w:val="95D8E62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64FBC"/>
    <w:multiLevelType w:val="hybridMultilevel"/>
    <w:tmpl w:val="3F80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A61F8"/>
    <w:multiLevelType w:val="hybridMultilevel"/>
    <w:tmpl w:val="50809D3A"/>
    <w:lvl w:ilvl="0" w:tplc="331AEBA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943F3F"/>
    <w:multiLevelType w:val="hybridMultilevel"/>
    <w:tmpl w:val="1832AA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13070"/>
    <w:multiLevelType w:val="hybridMultilevel"/>
    <w:tmpl w:val="CD303D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E48D5"/>
    <w:multiLevelType w:val="hybridMultilevel"/>
    <w:tmpl w:val="CF685E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D4E1A"/>
    <w:multiLevelType w:val="hybridMultilevel"/>
    <w:tmpl w:val="E4009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A7217"/>
    <w:multiLevelType w:val="hybridMultilevel"/>
    <w:tmpl w:val="639844C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2C2CBD"/>
    <w:multiLevelType w:val="hybridMultilevel"/>
    <w:tmpl w:val="211C79D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27336"/>
    <w:multiLevelType w:val="hybridMultilevel"/>
    <w:tmpl w:val="60E228B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E61DE6"/>
    <w:multiLevelType w:val="hybridMultilevel"/>
    <w:tmpl w:val="63842D9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B27C3"/>
    <w:multiLevelType w:val="hybridMultilevel"/>
    <w:tmpl w:val="53B49D7E"/>
    <w:lvl w:ilvl="0" w:tplc="04090019">
      <w:start w:val="1"/>
      <w:numFmt w:val="lowerLetter"/>
      <w:lvlText w:val="%1."/>
      <w:lvlJc w:val="left"/>
      <w:pPr>
        <w:ind w:left="1440" w:hanging="360"/>
      </w:p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B42F84"/>
    <w:multiLevelType w:val="hybridMultilevel"/>
    <w:tmpl w:val="D108C1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505D3"/>
    <w:multiLevelType w:val="hybridMultilevel"/>
    <w:tmpl w:val="5BEE4DDC"/>
    <w:lvl w:ilvl="0" w:tplc="0409000B">
      <w:start w:val="1"/>
      <w:numFmt w:val="bullet"/>
      <w:lvlText w:val=""/>
      <w:lvlJc w:val="left"/>
      <w:pPr>
        <w:ind w:left="2520" w:hanging="360"/>
      </w:pPr>
      <w:rPr>
        <w:rFonts w:ascii="Wingdings" w:hAnsi="Wingdings" w:hint="default"/>
      </w:rPr>
    </w:lvl>
    <w:lvl w:ilvl="1" w:tplc="0409000B">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4726C12"/>
    <w:multiLevelType w:val="hybridMultilevel"/>
    <w:tmpl w:val="64B6F5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10BBC"/>
    <w:multiLevelType w:val="hybridMultilevel"/>
    <w:tmpl w:val="AE686676"/>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3F4EEE"/>
    <w:multiLevelType w:val="hybridMultilevel"/>
    <w:tmpl w:val="A7CA78A2"/>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5239EE"/>
    <w:multiLevelType w:val="hybridMultilevel"/>
    <w:tmpl w:val="28802D56"/>
    <w:lvl w:ilvl="0" w:tplc="04090019">
      <w:start w:val="1"/>
      <w:numFmt w:val="low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DD61A0"/>
    <w:multiLevelType w:val="hybridMultilevel"/>
    <w:tmpl w:val="F13417B8"/>
    <w:lvl w:ilvl="0" w:tplc="0409000B">
      <w:start w:val="1"/>
      <w:numFmt w:val="bullet"/>
      <w:lvlText w:val=""/>
      <w:lvlJc w:val="left"/>
      <w:pPr>
        <w:ind w:left="720" w:hanging="360"/>
      </w:pPr>
      <w:rPr>
        <w:rFonts w:ascii="Wingdings" w:hAnsi="Wingdings" w:hint="default"/>
      </w:rPr>
    </w:lvl>
    <w:lvl w:ilvl="1" w:tplc="F8C07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86651"/>
    <w:multiLevelType w:val="hybridMultilevel"/>
    <w:tmpl w:val="1F569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C7474A"/>
    <w:multiLevelType w:val="hybridMultilevel"/>
    <w:tmpl w:val="33A8284A"/>
    <w:lvl w:ilvl="0" w:tplc="04090003">
      <w:start w:val="1"/>
      <w:numFmt w:val="bullet"/>
      <w:lvlText w:val="o"/>
      <w:lvlJc w:val="left"/>
      <w:pPr>
        <w:ind w:left="720" w:hanging="360"/>
      </w:pPr>
      <w:rPr>
        <w:rFonts w:ascii="Courier New" w:hAnsi="Courier New" w:cs="Courier New" w:hint="default"/>
      </w:rPr>
    </w:lvl>
    <w:lvl w:ilvl="1" w:tplc="F8C07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DB7630"/>
    <w:multiLevelType w:val="hybridMultilevel"/>
    <w:tmpl w:val="CD00F81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7"/>
  </w:num>
  <w:num w:numId="5">
    <w:abstractNumId w:val="23"/>
  </w:num>
  <w:num w:numId="6">
    <w:abstractNumId w:val="11"/>
  </w:num>
  <w:num w:numId="7">
    <w:abstractNumId w:val="30"/>
  </w:num>
  <w:num w:numId="8">
    <w:abstractNumId w:val="1"/>
  </w:num>
  <w:num w:numId="9">
    <w:abstractNumId w:val="16"/>
  </w:num>
  <w:num w:numId="10">
    <w:abstractNumId w:val="9"/>
  </w:num>
  <w:num w:numId="11">
    <w:abstractNumId w:val="14"/>
  </w:num>
  <w:num w:numId="12">
    <w:abstractNumId w:val="3"/>
  </w:num>
  <w:num w:numId="13">
    <w:abstractNumId w:val="18"/>
  </w:num>
  <w:num w:numId="14">
    <w:abstractNumId w:val="20"/>
  </w:num>
  <w:num w:numId="15">
    <w:abstractNumId w:val="4"/>
  </w:num>
  <w:num w:numId="16">
    <w:abstractNumId w:val="31"/>
  </w:num>
  <w:num w:numId="17">
    <w:abstractNumId w:val="27"/>
  </w:num>
  <w:num w:numId="18">
    <w:abstractNumId w:val="8"/>
  </w:num>
  <w:num w:numId="19">
    <w:abstractNumId w:val="21"/>
  </w:num>
  <w:num w:numId="20">
    <w:abstractNumId w:val="12"/>
  </w:num>
  <w:num w:numId="21">
    <w:abstractNumId w:val="6"/>
  </w:num>
  <w:num w:numId="22">
    <w:abstractNumId w:val="19"/>
  </w:num>
  <w:num w:numId="23">
    <w:abstractNumId w:val="13"/>
  </w:num>
  <w:num w:numId="24">
    <w:abstractNumId w:val="15"/>
  </w:num>
  <w:num w:numId="25">
    <w:abstractNumId w:val="26"/>
  </w:num>
  <w:num w:numId="26">
    <w:abstractNumId w:val="32"/>
  </w:num>
  <w:num w:numId="27">
    <w:abstractNumId w:val="17"/>
  </w:num>
  <w:num w:numId="28">
    <w:abstractNumId w:val="29"/>
  </w:num>
  <w:num w:numId="29">
    <w:abstractNumId w:val="22"/>
  </w:num>
  <w:num w:numId="30">
    <w:abstractNumId w:val="0"/>
  </w:num>
  <w:num w:numId="31">
    <w:abstractNumId w:val="24"/>
  </w:num>
  <w:num w:numId="32">
    <w:abstractNumId w:val="25"/>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C0"/>
    <w:rsid w:val="000509C0"/>
    <w:rsid w:val="000C0A7C"/>
    <w:rsid w:val="001356D4"/>
    <w:rsid w:val="002F03A4"/>
    <w:rsid w:val="00517D42"/>
    <w:rsid w:val="005A3401"/>
    <w:rsid w:val="005B045C"/>
    <w:rsid w:val="00690A56"/>
    <w:rsid w:val="006B77FF"/>
    <w:rsid w:val="00760B14"/>
    <w:rsid w:val="00761BFB"/>
    <w:rsid w:val="00782C23"/>
    <w:rsid w:val="007E46DE"/>
    <w:rsid w:val="0084285F"/>
    <w:rsid w:val="00994D89"/>
    <w:rsid w:val="00BC5B4B"/>
    <w:rsid w:val="00D70366"/>
    <w:rsid w:val="00EC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2C359-9D81-4CF6-B349-7BACAAFE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9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9C0"/>
    <w:pPr>
      <w:ind w:left="720"/>
    </w:pPr>
  </w:style>
  <w:style w:type="character" w:styleId="Hyperlink">
    <w:name w:val="Hyperlink"/>
    <w:basedOn w:val="DefaultParagraphFont"/>
    <w:uiPriority w:val="99"/>
    <w:unhideWhenUsed/>
    <w:rsid w:val="000509C0"/>
    <w:rPr>
      <w:color w:val="0000FF"/>
      <w:u w:val="single"/>
    </w:rPr>
  </w:style>
  <w:style w:type="paragraph" w:styleId="Header">
    <w:name w:val="header"/>
    <w:basedOn w:val="Normal"/>
    <w:link w:val="HeaderChar"/>
    <w:uiPriority w:val="99"/>
    <w:semiHidden/>
    <w:unhideWhenUsed/>
    <w:rsid w:val="005A3401"/>
    <w:pPr>
      <w:tabs>
        <w:tab w:val="center" w:pos="4680"/>
        <w:tab w:val="right" w:pos="9360"/>
      </w:tabs>
    </w:pPr>
  </w:style>
  <w:style w:type="character" w:customStyle="1" w:styleId="HeaderChar">
    <w:name w:val="Header Char"/>
    <w:basedOn w:val="DefaultParagraphFont"/>
    <w:link w:val="Header"/>
    <w:uiPriority w:val="99"/>
    <w:semiHidden/>
    <w:rsid w:val="005A3401"/>
    <w:rPr>
      <w:sz w:val="22"/>
      <w:szCs w:val="22"/>
    </w:rPr>
  </w:style>
  <w:style w:type="paragraph" w:styleId="Footer">
    <w:name w:val="footer"/>
    <w:basedOn w:val="Normal"/>
    <w:link w:val="FooterChar"/>
    <w:uiPriority w:val="99"/>
    <w:unhideWhenUsed/>
    <w:rsid w:val="005A3401"/>
    <w:pPr>
      <w:tabs>
        <w:tab w:val="center" w:pos="4680"/>
        <w:tab w:val="right" w:pos="9360"/>
      </w:tabs>
    </w:pPr>
  </w:style>
  <w:style w:type="character" w:customStyle="1" w:styleId="FooterChar">
    <w:name w:val="Footer Char"/>
    <w:basedOn w:val="DefaultParagraphFont"/>
    <w:link w:val="Footer"/>
    <w:uiPriority w:val="99"/>
    <w:rsid w:val="005A3401"/>
    <w:rPr>
      <w:sz w:val="22"/>
      <w:szCs w:val="22"/>
    </w:rPr>
  </w:style>
  <w:style w:type="character" w:styleId="FollowedHyperlink">
    <w:name w:val="FollowedHyperlink"/>
    <w:basedOn w:val="DefaultParagraphFont"/>
    <w:uiPriority w:val="99"/>
    <w:semiHidden/>
    <w:unhideWhenUsed/>
    <w:rsid w:val="000C0A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Keene State College</Company>
  <LinksUpToDate>false</LinksUpToDate>
  <CharactersWithSpaces>14510</CharactersWithSpaces>
  <SharedDoc>false</SharedDoc>
  <HLinks>
    <vt:vector size="12" baseType="variant">
      <vt:variant>
        <vt:i4>4849670</vt:i4>
      </vt:variant>
      <vt:variant>
        <vt:i4>3</vt:i4>
      </vt:variant>
      <vt:variant>
        <vt:i4>0</vt:i4>
      </vt:variant>
      <vt:variant>
        <vt:i4>5</vt:i4>
      </vt:variant>
      <vt:variant>
        <vt:lpwstr>http://www.keene.edu/admin/handbooks/personnel_data_summary.pdf</vt:lpwstr>
      </vt:variant>
      <vt:variant>
        <vt:lpwstr/>
      </vt:variant>
      <vt:variant>
        <vt:i4>4784150</vt:i4>
      </vt:variant>
      <vt:variant>
        <vt:i4>0</vt:i4>
      </vt:variant>
      <vt:variant>
        <vt:i4>0</vt:i4>
      </vt:variant>
      <vt:variant>
        <vt:i4>5</vt:i4>
      </vt:variant>
      <vt:variant>
        <vt:lpwstr>http://www.keene.edu/admin/handbooks/personnel_file_release.pdf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Harkness, Kim</cp:lastModifiedBy>
  <cp:revision>2</cp:revision>
  <dcterms:created xsi:type="dcterms:W3CDTF">2017-05-31T18:46:00Z</dcterms:created>
  <dcterms:modified xsi:type="dcterms:W3CDTF">2017-05-31T18:46:00Z</dcterms:modified>
</cp:coreProperties>
</file>